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color w:val="auto"/>
          <w:highlight w:val="none"/>
        </w:rPr>
      </w:pPr>
      <w:r>
        <w:rPr>
          <w:rFonts w:hint="eastAsia"/>
          <w:color w:val="auto"/>
          <w:highlight w:val="none"/>
        </w:rPr>
        <w:t>合同主要条款（草案）</w:t>
      </w:r>
    </w:p>
    <w:p>
      <w:pPr>
        <w:widowControl/>
        <w:autoSpaceDE w:val="0"/>
        <w:autoSpaceDN w:val="0"/>
        <w:spacing w:line="276" w:lineRule="auto"/>
        <w:ind w:right="53" w:firstLine="482" w:firstLineChars="200"/>
        <w:textAlignment w:val="bottom"/>
        <w:rPr>
          <w:rFonts w:hint="eastAsia"/>
          <w:b/>
          <w:bCs/>
          <w:color w:val="auto"/>
          <w:sz w:val="24"/>
          <w:szCs w:val="22"/>
          <w:highlight w:val="none"/>
        </w:rPr>
      </w:pPr>
      <w:r>
        <w:rPr>
          <w:rFonts w:hint="eastAsia"/>
          <w:b/>
          <w:bCs/>
          <w:color w:val="auto"/>
          <w:sz w:val="24"/>
          <w:szCs w:val="22"/>
          <w:highlight w:val="none"/>
        </w:rPr>
        <w:t>（本合同为草案，仅供参考。合同的签订不得偏离谈判文件要求、响应文件中的响应及承诺的实质性内容。）</w:t>
      </w:r>
    </w:p>
    <w:p>
      <w:pPr>
        <w:spacing w:line="440" w:lineRule="exact"/>
        <w:ind w:firstLine="480" w:firstLineChars="200"/>
        <w:rPr>
          <w:rFonts w:hint="eastAsia"/>
          <w:color w:val="auto"/>
          <w:sz w:val="24"/>
          <w:highlight w:val="none"/>
        </w:rPr>
      </w:pPr>
    </w:p>
    <w:p>
      <w:pPr>
        <w:spacing w:line="440" w:lineRule="exact"/>
        <w:ind w:firstLine="480" w:firstLineChars="200"/>
        <w:rPr>
          <w:rFonts w:hint="eastAsia"/>
          <w:color w:val="auto"/>
          <w:sz w:val="24"/>
          <w:highlight w:val="none"/>
        </w:rPr>
      </w:pPr>
      <w:r>
        <w:rPr>
          <w:rFonts w:hint="eastAsia"/>
          <w:color w:val="auto"/>
          <w:sz w:val="24"/>
          <w:highlight w:val="none"/>
        </w:rPr>
        <w:t xml:space="preserve">采购人（甲方）：                              </w:t>
      </w:r>
    </w:p>
    <w:p>
      <w:pPr>
        <w:spacing w:line="440" w:lineRule="exact"/>
        <w:ind w:firstLine="480" w:firstLineChars="200"/>
        <w:rPr>
          <w:rFonts w:hint="eastAsia"/>
          <w:color w:val="auto"/>
          <w:sz w:val="24"/>
          <w:highlight w:val="none"/>
        </w:rPr>
      </w:pPr>
      <w:r>
        <w:rPr>
          <w:rFonts w:hint="eastAsia"/>
          <w:color w:val="auto"/>
          <w:sz w:val="24"/>
          <w:highlight w:val="none"/>
        </w:rPr>
        <w:t>供应商（乙</w:t>
      </w:r>
      <w:r>
        <w:rPr>
          <w:color w:val="auto"/>
          <w:sz w:val="24"/>
          <w:highlight w:val="none"/>
        </w:rPr>
        <w:t>方</w:t>
      </w:r>
      <w:r>
        <w:rPr>
          <w:rFonts w:hint="eastAsia"/>
          <w:color w:val="auto"/>
          <w:sz w:val="24"/>
          <w:highlight w:val="none"/>
        </w:rPr>
        <w:t>）</w:t>
      </w:r>
      <w:r>
        <w:rPr>
          <w:color w:val="auto"/>
          <w:sz w:val="24"/>
          <w:highlight w:val="none"/>
        </w:rPr>
        <w:t xml:space="preserve">：                              </w:t>
      </w:r>
      <w:r>
        <w:rPr>
          <w:color w:val="auto"/>
          <w:highlight w:val="none"/>
        </w:rPr>
        <w:t xml:space="preserve"> </w:t>
      </w:r>
      <w:r>
        <w:rPr>
          <w:rFonts w:hint="eastAsia"/>
          <w:color w:val="auto"/>
          <w:highlight w:val="none"/>
        </w:rPr>
        <w:t xml:space="preserve">                                    </w:t>
      </w:r>
      <w:r>
        <w:rPr>
          <w:color w:val="auto"/>
          <w:highlight w:val="none"/>
        </w:rPr>
        <w:t xml:space="preserve">  </w:t>
      </w:r>
    </w:p>
    <w:p>
      <w:pPr>
        <w:spacing w:line="400" w:lineRule="exact"/>
        <w:rPr>
          <w:rFonts w:hint="eastAsia"/>
          <w:color w:val="auto"/>
          <w:sz w:val="24"/>
          <w:highlight w:val="none"/>
        </w:rPr>
      </w:pPr>
    </w:p>
    <w:p>
      <w:pPr>
        <w:pStyle w:val="9"/>
        <w:ind w:firstLine="480"/>
        <w:rPr>
          <w:rFonts w:hint="eastAsia"/>
          <w:color w:val="auto"/>
          <w:highlight w:val="none"/>
        </w:rPr>
      </w:pPr>
      <w:r>
        <w:rPr>
          <w:rFonts w:hint="eastAsia"/>
          <w:color w:val="auto"/>
          <w:highlight w:val="none"/>
        </w:rPr>
        <w:t>根据《中华人民共和国民法典》及</w:t>
      </w:r>
      <w:r>
        <w:rPr>
          <w:rFonts w:hint="eastAsia"/>
          <w:color w:val="auto"/>
          <w:szCs w:val="21"/>
          <w:highlight w:val="none"/>
        </w:rPr>
        <w:t>XXXX</w:t>
      </w:r>
      <w:r>
        <w:rPr>
          <w:rFonts w:hint="eastAsia"/>
          <w:color w:val="auto"/>
          <w:highlight w:val="none"/>
        </w:rPr>
        <w:t>采购项目（项目编号：</w:t>
      </w:r>
      <w:r>
        <w:rPr>
          <w:rFonts w:hint="eastAsia"/>
          <w:color w:val="auto"/>
          <w:szCs w:val="21"/>
          <w:highlight w:val="none"/>
        </w:rPr>
        <w:t>XX</w:t>
      </w:r>
      <w:r>
        <w:rPr>
          <w:rFonts w:hint="eastAsia"/>
          <w:color w:val="auto"/>
          <w:highlight w:val="none"/>
        </w:rPr>
        <w:t>）的《谈判文件》、乙方的《响应文件》及《成交通知书》，甲、乙双方同意签订本合同。详细技术说明及其他有关合同项目的特定信息由合同附件予以说明，合同附件及本项目的谈判文件、响应文件、《成交通知书》等均为本合同不可分割的部分。双方同意共同遵守如下条款：</w:t>
      </w:r>
    </w:p>
    <w:p>
      <w:pPr>
        <w:pStyle w:val="5"/>
        <w:spacing w:line="400" w:lineRule="exact"/>
        <w:ind w:firstLine="482" w:firstLineChars="200"/>
        <w:rPr>
          <w:rFonts w:hint="eastAsia" w:ascii="Times New Roman" w:hAnsi="Times New Roman"/>
          <w:color w:val="auto"/>
          <w:sz w:val="24"/>
          <w:szCs w:val="24"/>
          <w:highlight w:val="none"/>
        </w:rPr>
      </w:pPr>
      <w:bookmarkStart w:id="0" w:name="_Toc217446107"/>
      <w:r>
        <w:rPr>
          <w:rFonts w:hint="eastAsia" w:ascii="Times New Roman" w:hAnsi="Times New Roman"/>
          <w:color w:val="auto"/>
          <w:sz w:val="24"/>
          <w:szCs w:val="24"/>
          <w:highlight w:val="none"/>
        </w:rPr>
        <w:t>一、合同货物</w:t>
      </w:r>
      <w:bookmarkEnd w:id="0"/>
    </w:p>
    <w:tbl>
      <w:tblPr>
        <w:tblStyle w:val="7"/>
        <w:tblW w:w="9030" w:type="dxa"/>
        <w:tblInd w:w="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75"/>
        <w:gridCol w:w="1050"/>
        <w:gridCol w:w="720"/>
        <w:gridCol w:w="900"/>
        <w:gridCol w:w="1080"/>
        <w:gridCol w:w="1185"/>
        <w:gridCol w:w="1260"/>
        <w:gridCol w:w="126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PrEx>
        <w:trPr>
          <w:trHeight w:val="583" w:hRule="atLeast"/>
        </w:trPr>
        <w:tc>
          <w:tcPr>
            <w:tcW w:w="157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ind w:firstLine="240" w:firstLineChars="100"/>
              <w:rPr>
                <w:rFonts w:hint="eastAsia"/>
                <w:color w:val="auto"/>
                <w:sz w:val="24"/>
                <w:highlight w:val="none"/>
              </w:rPr>
            </w:pPr>
            <w:r>
              <w:rPr>
                <w:rFonts w:hint="eastAsia" w:cs="Arial"/>
                <w:color w:val="auto"/>
                <w:sz w:val="24"/>
                <w:highlight w:val="none"/>
              </w:rPr>
              <w:t>货物品名</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cs="Arial"/>
                <w:color w:val="auto"/>
                <w:sz w:val="24"/>
                <w:highlight w:val="none"/>
              </w:rPr>
            </w:pPr>
            <w:r>
              <w:rPr>
                <w:rFonts w:hint="eastAsia" w:cs="Arial"/>
                <w:color w:val="auto"/>
                <w:sz w:val="24"/>
                <w:highlight w:val="none"/>
              </w:rPr>
              <w:t>规格</w:t>
            </w:r>
          </w:p>
          <w:p>
            <w:pPr>
              <w:spacing w:line="400" w:lineRule="exact"/>
              <w:jc w:val="center"/>
              <w:rPr>
                <w:rFonts w:hint="eastAsia"/>
                <w:color w:val="auto"/>
                <w:sz w:val="24"/>
                <w:highlight w:val="none"/>
              </w:rPr>
            </w:pPr>
            <w:r>
              <w:rPr>
                <w:rFonts w:hint="eastAsia" w:cs="Arial"/>
                <w:color w:val="auto"/>
                <w:sz w:val="24"/>
                <w:highlight w:val="none"/>
              </w:rPr>
              <w:t>型号</w:t>
            </w:r>
          </w:p>
        </w:tc>
        <w:tc>
          <w:tcPr>
            <w:tcW w:w="72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color w:val="auto"/>
                <w:sz w:val="24"/>
                <w:highlight w:val="none"/>
              </w:rPr>
            </w:pPr>
            <w:r>
              <w:rPr>
                <w:rFonts w:hint="eastAsia" w:cs="Arial"/>
                <w:color w:val="auto"/>
                <w:sz w:val="24"/>
                <w:highlight w:val="none"/>
              </w:rPr>
              <w:t>单位</w:t>
            </w:r>
          </w:p>
        </w:tc>
        <w:tc>
          <w:tcPr>
            <w:tcW w:w="90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ind w:firstLine="120" w:firstLineChars="50"/>
              <w:rPr>
                <w:rFonts w:hint="eastAsia"/>
                <w:color w:val="auto"/>
                <w:sz w:val="24"/>
                <w:highlight w:val="none"/>
              </w:rPr>
            </w:pPr>
            <w:r>
              <w:rPr>
                <w:rFonts w:hint="eastAsia" w:cs="Arial"/>
                <w:color w:val="auto"/>
                <w:sz w:val="24"/>
                <w:highlight w:val="none"/>
              </w:rPr>
              <w:t>数量</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ind w:firstLine="120" w:firstLineChars="50"/>
              <w:jc w:val="center"/>
              <w:rPr>
                <w:rFonts w:hint="eastAsia" w:cs="Arial"/>
                <w:color w:val="auto"/>
                <w:sz w:val="24"/>
                <w:highlight w:val="none"/>
              </w:rPr>
            </w:pPr>
            <w:r>
              <w:rPr>
                <w:rFonts w:hint="eastAsia" w:cs="Arial"/>
                <w:color w:val="auto"/>
                <w:sz w:val="24"/>
                <w:highlight w:val="none"/>
              </w:rPr>
              <w:t>单价</w:t>
            </w:r>
          </w:p>
          <w:p>
            <w:pPr>
              <w:spacing w:line="400" w:lineRule="exact"/>
              <w:jc w:val="center"/>
              <w:rPr>
                <w:rFonts w:hint="eastAsia" w:cs="Arial"/>
                <w:color w:val="auto"/>
                <w:sz w:val="24"/>
                <w:highlight w:val="none"/>
              </w:rPr>
            </w:pPr>
            <w:r>
              <w:rPr>
                <w:rFonts w:hint="eastAsia" w:cs="Arial"/>
                <w:color w:val="auto"/>
                <w:sz w:val="24"/>
                <w:highlight w:val="none"/>
              </w:rPr>
              <w:t>（万元）</w:t>
            </w:r>
          </w:p>
        </w:tc>
        <w:tc>
          <w:tcPr>
            <w:tcW w:w="118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ind w:firstLine="240" w:firstLineChars="100"/>
              <w:rPr>
                <w:rFonts w:hint="eastAsia" w:cs="Arial"/>
                <w:color w:val="auto"/>
                <w:sz w:val="24"/>
                <w:highlight w:val="none"/>
              </w:rPr>
            </w:pPr>
            <w:r>
              <w:rPr>
                <w:rFonts w:hint="eastAsia" w:cs="Arial"/>
                <w:color w:val="auto"/>
                <w:sz w:val="24"/>
                <w:highlight w:val="none"/>
              </w:rPr>
              <w:t>总价</w:t>
            </w:r>
          </w:p>
          <w:p>
            <w:pPr>
              <w:spacing w:line="400" w:lineRule="exact"/>
              <w:rPr>
                <w:rFonts w:hint="eastAsia"/>
                <w:color w:val="auto"/>
                <w:sz w:val="24"/>
                <w:highlight w:val="none"/>
              </w:rPr>
            </w:pPr>
            <w:r>
              <w:rPr>
                <w:rFonts w:hint="eastAsia" w:cs="Arial"/>
                <w:color w:val="auto"/>
                <w:sz w:val="24"/>
                <w:highlight w:val="none"/>
              </w:rPr>
              <w:t>（万元）</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cs="Arial"/>
                <w:color w:val="auto"/>
                <w:sz w:val="24"/>
                <w:highlight w:val="none"/>
              </w:rPr>
            </w:pPr>
            <w:r>
              <w:rPr>
                <w:rFonts w:hint="eastAsia" w:cs="Arial"/>
                <w:color w:val="auto"/>
                <w:sz w:val="24"/>
                <w:highlight w:val="none"/>
              </w:rPr>
              <w:t>随机</w:t>
            </w:r>
          </w:p>
          <w:p>
            <w:pPr>
              <w:spacing w:line="400" w:lineRule="exact"/>
              <w:jc w:val="center"/>
              <w:rPr>
                <w:rFonts w:hint="eastAsia"/>
                <w:color w:val="auto"/>
                <w:sz w:val="24"/>
                <w:highlight w:val="none"/>
              </w:rPr>
            </w:pPr>
            <w:r>
              <w:rPr>
                <w:rFonts w:hint="eastAsia" w:cs="Arial"/>
                <w:color w:val="auto"/>
                <w:sz w:val="24"/>
                <w:highlight w:val="none"/>
              </w:rPr>
              <w:t>配件</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ind w:firstLine="120" w:firstLineChars="50"/>
              <w:rPr>
                <w:rFonts w:hint="eastAsia"/>
                <w:color w:val="auto"/>
                <w:sz w:val="24"/>
                <w:highlight w:val="none"/>
              </w:rPr>
            </w:pPr>
            <w:r>
              <w:rPr>
                <w:rFonts w:hint="eastAsia" w:cs="Arial"/>
                <w:color w:val="auto"/>
                <w:sz w:val="24"/>
                <w:highlight w:val="none"/>
              </w:rPr>
              <w:t>交货期</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47" w:hRule="atLeast"/>
        </w:trPr>
        <w:tc>
          <w:tcPr>
            <w:tcW w:w="157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color w:val="auto"/>
                <w:sz w:val="24"/>
                <w:highlight w:val="none"/>
              </w:rPr>
            </w:pPr>
            <w:r>
              <w:rPr>
                <w:rFonts w:hint="eastAsia"/>
                <w:color w:val="auto"/>
                <w:sz w:val="24"/>
                <w:highlight w:val="none"/>
              </w:rPr>
              <w:t> </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color w:val="auto"/>
                <w:sz w:val="24"/>
                <w:highlight w:val="none"/>
              </w:rPr>
            </w:pPr>
            <w:r>
              <w:rPr>
                <w:rFonts w:hint="eastAsia"/>
                <w:color w:val="auto"/>
                <w:sz w:val="24"/>
                <w:highlight w:val="none"/>
              </w:rPr>
              <w:t> </w:t>
            </w:r>
          </w:p>
        </w:tc>
        <w:tc>
          <w:tcPr>
            <w:tcW w:w="72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color w:val="auto"/>
                <w:sz w:val="24"/>
                <w:highlight w:val="none"/>
              </w:rPr>
            </w:pPr>
            <w:r>
              <w:rPr>
                <w:rFonts w:hint="eastAsia"/>
                <w:color w:val="auto"/>
                <w:sz w:val="24"/>
                <w:highlight w:val="none"/>
              </w:rPr>
              <w:t> </w:t>
            </w:r>
          </w:p>
        </w:tc>
        <w:tc>
          <w:tcPr>
            <w:tcW w:w="90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color w:val="auto"/>
                <w:sz w:val="24"/>
                <w:highlight w:val="none"/>
              </w:rPr>
            </w:pPr>
            <w:r>
              <w:rPr>
                <w:rFonts w:hint="eastAsia"/>
                <w:color w:val="auto"/>
                <w:sz w:val="24"/>
                <w:highlight w:val="none"/>
              </w:rPr>
              <w:t> </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color w:val="auto"/>
                <w:sz w:val="24"/>
                <w:highlight w:val="none"/>
              </w:rPr>
            </w:pPr>
            <w:r>
              <w:rPr>
                <w:rFonts w:hint="eastAsia"/>
                <w:color w:val="auto"/>
                <w:sz w:val="24"/>
                <w:highlight w:val="none"/>
              </w:rPr>
              <w:t> </w:t>
            </w:r>
          </w:p>
        </w:tc>
        <w:tc>
          <w:tcPr>
            <w:tcW w:w="118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color w:val="auto"/>
                <w:sz w:val="24"/>
                <w:highlight w:val="none"/>
              </w:rPr>
            </w:pPr>
            <w:r>
              <w:rPr>
                <w:rFonts w:hint="eastAsia"/>
                <w:color w:val="auto"/>
                <w:sz w:val="24"/>
                <w:highlight w:val="none"/>
              </w:rPr>
              <w:t> </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color w:val="auto"/>
                <w:sz w:val="24"/>
                <w:highlight w:val="none"/>
              </w:rPr>
            </w:pPr>
            <w:r>
              <w:rPr>
                <w:rFonts w:hint="eastAsia"/>
                <w:color w:val="auto"/>
                <w:sz w:val="24"/>
                <w:highlight w:val="none"/>
              </w:rPr>
              <w:t> </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color w:val="auto"/>
                <w:sz w:val="24"/>
                <w:highlight w:val="none"/>
              </w:rPr>
            </w:pPr>
            <w:r>
              <w:rPr>
                <w:rFonts w:hint="eastAsia"/>
                <w:color w:val="auto"/>
                <w:sz w:val="24"/>
                <w:highlight w:val="none"/>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47" w:hRule="atLeast"/>
        </w:trPr>
        <w:tc>
          <w:tcPr>
            <w:tcW w:w="157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color w:val="auto"/>
                <w:sz w:val="24"/>
                <w:highlight w:val="none"/>
              </w:rPr>
            </w:pPr>
            <w:r>
              <w:rPr>
                <w:rFonts w:hint="eastAsia"/>
                <w:color w:val="auto"/>
                <w:sz w:val="24"/>
                <w:highlight w:val="none"/>
              </w:rPr>
              <w:t> </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color w:val="auto"/>
                <w:sz w:val="24"/>
                <w:highlight w:val="none"/>
              </w:rPr>
            </w:pPr>
            <w:r>
              <w:rPr>
                <w:rFonts w:hint="eastAsia"/>
                <w:color w:val="auto"/>
                <w:sz w:val="24"/>
                <w:highlight w:val="none"/>
              </w:rPr>
              <w:t> </w:t>
            </w:r>
          </w:p>
        </w:tc>
        <w:tc>
          <w:tcPr>
            <w:tcW w:w="72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color w:val="auto"/>
                <w:sz w:val="24"/>
                <w:highlight w:val="none"/>
              </w:rPr>
            </w:pPr>
            <w:r>
              <w:rPr>
                <w:rFonts w:hint="eastAsia"/>
                <w:color w:val="auto"/>
                <w:sz w:val="24"/>
                <w:highlight w:val="none"/>
              </w:rPr>
              <w:t> </w:t>
            </w:r>
          </w:p>
        </w:tc>
        <w:tc>
          <w:tcPr>
            <w:tcW w:w="90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color w:val="auto"/>
                <w:sz w:val="24"/>
                <w:highlight w:val="none"/>
              </w:rPr>
            </w:pPr>
            <w:r>
              <w:rPr>
                <w:rFonts w:hint="eastAsia"/>
                <w:color w:val="auto"/>
                <w:sz w:val="24"/>
                <w:highlight w:val="none"/>
              </w:rPr>
              <w:t> </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color w:val="auto"/>
                <w:sz w:val="24"/>
                <w:highlight w:val="none"/>
              </w:rPr>
            </w:pPr>
            <w:r>
              <w:rPr>
                <w:rFonts w:hint="eastAsia"/>
                <w:color w:val="auto"/>
                <w:sz w:val="24"/>
                <w:highlight w:val="none"/>
              </w:rPr>
              <w:t> </w:t>
            </w:r>
          </w:p>
        </w:tc>
        <w:tc>
          <w:tcPr>
            <w:tcW w:w="118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color w:val="auto"/>
                <w:sz w:val="24"/>
                <w:highlight w:val="none"/>
              </w:rPr>
            </w:pPr>
            <w:r>
              <w:rPr>
                <w:rFonts w:hint="eastAsia"/>
                <w:color w:val="auto"/>
                <w:sz w:val="24"/>
                <w:highlight w:val="none"/>
              </w:rPr>
              <w:t> </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color w:val="auto"/>
                <w:sz w:val="24"/>
                <w:highlight w:val="none"/>
              </w:rPr>
            </w:pPr>
            <w:r>
              <w:rPr>
                <w:rFonts w:hint="eastAsia"/>
                <w:color w:val="auto"/>
                <w:sz w:val="24"/>
                <w:highlight w:val="none"/>
              </w:rPr>
              <w:t> </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color w:val="auto"/>
                <w:sz w:val="24"/>
                <w:highlight w:val="none"/>
              </w:rPr>
            </w:pPr>
            <w:r>
              <w:rPr>
                <w:rFonts w:hint="eastAsia"/>
                <w:color w:val="auto"/>
                <w:sz w:val="24"/>
                <w:highlight w:val="none"/>
              </w:rPr>
              <w:t> </w:t>
            </w:r>
          </w:p>
        </w:tc>
      </w:tr>
    </w:tbl>
    <w:p>
      <w:pPr>
        <w:pStyle w:val="5"/>
        <w:spacing w:line="400" w:lineRule="exact"/>
        <w:ind w:firstLine="482" w:firstLineChars="200"/>
        <w:rPr>
          <w:rFonts w:hint="eastAsia" w:ascii="Times New Roman" w:hAnsi="Times New Roman"/>
          <w:color w:val="auto"/>
          <w:sz w:val="24"/>
          <w:szCs w:val="24"/>
          <w:highlight w:val="none"/>
        </w:rPr>
      </w:pPr>
      <w:bookmarkStart w:id="1" w:name="_Toc217446108"/>
      <w:r>
        <w:rPr>
          <w:rFonts w:hint="eastAsia" w:ascii="Times New Roman" w:hAnsi="Times New Roman"/>
          <w:color w:val="auto"/>
          <w:sz w:val="24"/>
          <w:szCs w:val="24"/>
          <w:highlight w:val="none"/>
        </w:rPr>
        <w:t>二、合同总价</w:t>
      </w:r>
      <w:bookmarkEnd w:id="1"/>
    </w:p>
    <w:p>
      <w:pPr>
        <w:pStyle w:val="6"/>
        <w:spacing w:line="400" w:lineRule="exact"/>
        <w:ind w:firstLineChars="175"/>
        <w:rPr>
          <w:rFonts w:hint="eastAsia"/>
          <w:color w:val="auto"/>
          <w:sz w:val="24"/>
          <w:highlight w:val="none"/>
        </w:rPr>
      </w:pPr>
      <w:r>
        <w:rPr>
          <w:rFonts w:hint="eastAsia"/>
          <w:color w:val="auto"/>
          <w:sz w:val="24"/>
          <w:highlight w:val="none"/>
        </w:rPr>
        <w:t>合同总价为人民币大写：</w:t>
      </w:r>
      <w:r>
        <w:rPr>
          <w:rFonts w:hint="eastAsia"/>
          <w:color w:val="auto"/>
          <w:sz w:val="24"/>
          <w:highlight w:val="none"/>
          <w:u w:val="single"/>
        </w:rPr>
        <w:t xml:space="preserve">                </w:t>
      </w:r>
      <w:r>
        <w:rPr>
          <w:rFonts w:hint="eastAsia"/>
          <w:color w:val="auto"/>
          <w:sz w:val="24"/>
          <w:highlight w:val="none"/>
        </w:rPr>
        <w:t>元，即RMB￥</w:t>
      </w:r>
      <w:r>
        <w:rPr>
          <w:rFonts w:hint="eastAsia"/>
          <w:color w:val="auto"/>
          <w:sz w:val="24"/>
          <w:highlight w:val="none"/>
          <w:u w:val="single"/>
        </w:rPr>
        <w:t xml:space="preserve">        </w:t>
      </w:r>
      <w:r>
        <w:rPr>
          <w:rFonts w:hint="eastAsia"/>
          <w:color w:val="auto"/>
          <w:sz w:val="24"/>
          <w:highlight w:val="none"/>
        </w:rPr>
        <w:t>元；该合同总价已包括货物设计、材料、制造、包装、运输、安装、调试、检测、验收合格交付使用之前及保修期内保修服务与备用物件等等所有其他有关各项的含税费用。本合同执行期间合同总价不变，甲方无须另向乙方支付本合同规定之外的其他任何费用。</w:t>
      </w:r>
    </w:p>
    <w:p>
      <w:pPr>
        <w:pStyle w:val="5"/>
        <w:spacing w:line="400" w:lineRule="exact"/>
        <w:ind w:firstLine="482" w:firstLineChars="200"/>
        <w:rPr>
          <w:rFonts w:hint="eastAsia" w:ascii="Times New Roman" w:hAnsi="Times New Roman"/>
          <w:color w:val="auto"/>
          <w:sz w:val="24"/>
          <w:szCs w:val="24"/>
          <w:highlight w:val="none"/>
        </w:rPr>
      </w:pPr>
      <w:bookmarkStart w:id="2" w:name="_Toc217446109"/>
      <w:r>
        <w:rPr>
          <w:rFonts w:hint="eastAsia" w:ascii="Times New Roman" w:hAnsi="Times New Roman"/>
          <w:color w:val="auto"/>
          <w:sz w:val="24"/>
          <w:szCs w:val="24"/>
          <w:highlight w:val="none"/>
        </w:rPr>
        <w:t>三、质量要求</w:t>
      </w:r>
      <w:bookmarkEnd w:id="2"/>
    </w:p>
    <w:p>
      <w:pPr>
        <w:pStyle w:val="9"/>
        <w:ind w:firstLine="480"/>
        <w:rPr>
          <w:rFonts w:hint="eastAsia"/>
          <w:color w:val="auto"/>
          <w:highlight w:val="none"/>
        </w:rPr>
      </w:pPr>
      <w:r>
        <w:rPr>
          <w:rFonts w:hint="eastAsia"/>
          <w:color w:val="auto"/>
          <w:highlight w:val="none"/>
        </w:rPr>
        <w:t>1、乙方须提供全新的货物（含零部件、配件等），表面无划伤、无碰撞痕迹，且权属清楚，不得侵害他人的知识产权。</w:t>
      </w:r>
    </w:p>
    <w:p>
      <w:pPr>
        <w:pStyle w:val="9"/>
        <w:ind w:firstLine="480"/>
        <w:rPr>
          <w:rFonts w:hint="eastAsia"/>
          <w:color w:val="auto"/>
          <w:highlight w:val="none"/>
        </w:rPr>
      </w:pPr>
      <w:r>
        <w:rPr>
          <w:rFonts w:hint="eastAsia"/>
          <w:color w:val="auto"/>
          <w:highlight w:val="none"/>
        </w:rPr>
        <w:t>2、货物必须符合或优于国家（行业）</w:t>
      </w:r>
      <w:r>
        <w:rPr>
          <w:rFonts w:hint="eastAsia"/>
          <w:color w:val="auto"/>
          <w:highlight w:val="none"/>
          <w:u w:val="single"/>
        </w:rPr>
        <w:t xml:space="preserve">          </w:t>
      </w:r>
      <w:r>
        <w:rPr>
          <w:rFonts w:hint="eastAsia"/>
          <w:color w:val="auto"/>
          <w:highlight w:val="none"/>
        </w:rPr>
        <w:t>标准，以及本项目谈判文件的质量要求和技术指标与出厂标准。</w:t>
      </w:r>
    </w:p>
    <w:p>
      <w:pPr>
        <w:pStyle w:val="9"/>
        <w:ind w:firstLine="480"/>
        <w:rPr>
          <w:rFonts w:hint="eastAsia"/>
          <w:color w:val="auto"/>
          <w:highlight w:val="none"/>
        </w:rPr>
      </w:pPr>
      <w:r>
        <w:rPr>
          <w:rFonts w:hint="eastAsia"/>
          <w:color w:val="auto"/>
          <w:highlight w:val="none"/>
        </w:rPr>
        <w:t>3、乙方须在本合同签订之日起</w:t>
      </w:r>
      <w:r>
        <w:rPr>
          <w:rFonts w:hint="eastAsia"/>
          <w:color w:val="auto"/>
          <w:highlight w:val="none"/>
          <w:u w:val="single"/>
        </w:rPr>
        <w:t xml:space="preserve">   </w:t>
      </w:r>
      <w:r>
        <w:rPr>
          <w:rFonts w:hint="eastAsia"/>
          <w:color w:val="auto"/>
          <w:highlight w:val="none"/>
        </w:rPr>
        <w:t>日内送交货物成品样品给甲方确认，在甲方出具样品确认书并封存成品样品外观尺寸后，乙方才能按样生产，并以此样品作为验收样品；每台货物上均应有产品质量检验合格标志。</w:t>
      </w:r>
    </w:p>
    <w:p>
      <w:pPr>
        <w:pStyle w:val="9"/>
        <w:ind w:firstLine="480"/>
        <w:rPr>
          <w:rFonts w:hint="eastAsia"/>
          <w:color w:val="auto"/>
          <w:highlight w:val="none"/>
        </w:rPr>
      </w:pPr>
      <w:r>
        <w:rPr>
          <w:rFonts w:hint="eastAsia"/>
          <w:color w:val="auto"/>
          <w:highlight w:val="none"/>
        </w:rPr>
        <w:t>4、货物制造质量出现问题，乙方应负责三包（包修、包换、包退），费用由乙方负担，甲方有权到乙方生产场地检查货物质量和生产进度。</w:t>
      </w:r>
    </w:p>
    <w:p>
      <w:pPr>
        <w:pStyle w:val="9"/>
        <w:ind w:firstLine="480"/>
        <w:rPr>
          <w:rFonts w:hint="eastAsia"/>
          <w:color w:val="auto"/>
          <w:highlight w:val="none"/>
        </w:rPr>
      </w:pPr>
      <w:r>
        <w:rPr>
          <w:rFonts w:hint="eastAsia"/>
          <w:color w:val="auto"/>
          <w:highlight w:val="none"/>
        </w:rPr>
        <w:t>5、货到现场后由于甲方保管不当造成的质量问题，乙方亦应负责修理，但费用由甲方负担。</w:t>
      </w:r>
    </w:p>
    <w:p>
      <w:pPr>
        <w:pStyle w:val="5"/>
        <w:spacing w:line="400" w:lineRule="exact"/>
        <w:ind w:firstLine="482" w:firstLineChars="200"/>
        <w:rPr>
          <w:rFonts w:hint="eastAsia" w:ascii="Times New Roman" w:hAnsi="Times New Roman"/>
          <w:color w:val="auto"/>
          <w:sz w:val="24"/>
          <w:szCs w:val="24"/>
          <w:highlight w:val="none"/>
        </w:rPr>
      </w:pPr>
      <w:bookmarkStart w:id="3" w:name="_Toc217446110"/>
      <w:r>
        <w:rPr>
          <w:rFonts w:hint="eastAsia" w:ascii="Times New Roman" w:hAnsi="Times New Roman"/>
          <w:color w:val="auto"/>
          <w:sz w:val="24"/>
          <w:szCs w:val="24"/>
          <w:highlight w:val="none"/>
        </w:rPr>
        <w:t>四、交货及验收</w:t>
      </w:r>
      <w:bookmarkEnd w:id="3"/>
    </w:p>
    <w:p>
      <w:pPr>
        <w:keepNext w:val="0"/>
        <w:keepLines w:val="0"/>
        <w:pageBreakBefore w:val="0"/>
        <w:widowControl w:val="0"/>
        <w:kinsoku/>
        <w:wordWrap/>
        <w:overflowPunct/>
        <w:topLinePunct w:val="0"/>
        <w:autoSpaceDE/>
        <w:autoSpaceDN w:val="0"/>
        <w:bidi w:val="0"/>
        <w:adjustRightInd/>
        <w:snapToGrid/>
        <w:spacing w:line="440" w:lineRule="exact"/>
        <w:ind w:firstLine="480" w:firstLineChars="200"/>
        <w:textAlignment w:val="auto"/>
        <w:rPr>
          <w:rFonts w:hint="default" w:ascii="Times New Roman" w:hAnsi="Times New Roman" w:eastAsia="宋体" w:cs="宋体"/>
          <w:color w:val="auto"/>
          <w:kern w:val="2"/>
          <w:sz w:val="24"/>
          <w:szCs w:val="24"/>
          <w:highlight w:val="none"/>
          <w:lang w:val="en-US" w:eastAsia="zh-CN" w:bidi="ar-SA"/>
        </w:rPr>
      </w:pPr>
      <w:r>
        <w:rPr>
          <w:rFonts w:hint="default" w:ascii="Times New Roman" w:hAnsi="Times New Roman" w:eastAsia="宋体" w:cs="宋体"/>
          <w:color w:val="auto"/>
          <w:kern w:val="2"/>
          <w:sz w:val="24"/>
          <w:szCs w:val="24"/>
          <w:highlight w:val="none"/>
          <w:lang w:val="en-US" w:eastAsia="zh-CN" w:bidi="ar-SA"/>
        </w:rPr>
        <w:t>1</w:t>
      </w:r>
      <w:r>
        <w:rPr>
          <w:rFonts w:hint="eastAsia" w:ascii="Times New Roman" w:hAnsi="Times New Roman" w:eastAsia="宋体" w:cs="宋体"/>
          <w:color w:val="auto"/>
          <w:kern w:val="2"/>
          <w:sz w:val="24"/>
          <w:szCs w:val="24"/>
          <w:highlight w:val="none"/>
          <w:lang w:val="en-US" w:eastAsia="zh-CN" w:bidi="ar-SA"/>
        </w:rPr>
        <w:t>.</w:t>
      </w:r>
      <w:r>
        <w:rPr>
          <w:rFonts w:hint="default" w:ascii="Times New Roman" w:hAnsi="Times New Roman" w:eastAsia="宋体" w:cs="宋体"/>
          <w:color w:val="auto"/>
          <w:kern w:val="2"/>
          <w:sz w:val="24"/>
          <w:szCs w:val="24"/>
          <w:highlight w:val="none"/>
          <w:lang w:val="en-US" w:eastAsia="zh-CN" w:bidi="ar-SA"/>
        </w:rPr>
        <w:t>车辆为一次交付，乙方交货期限为合同签订生效后的   个工作日内交货到甲方指定地点，并且最迟应在   年   月  日前全部完成安装调试验收合格交付使用(如由于采购人的原因造成合同延迟签订或验收的，时间顺延)。交货验收时须提供产品质检部门从同类产品中抽样检查合格的检测报告。</w:t>
      </w:r>
    </w:p>
    <w:p>
      <w:pPr>
        <w:keepNext w:val="0"/>
        <w:keepLines w:val="0"/>
        <w:pageBreakBefore w:val="0"/>
        <w:widowControl w:val="0"/>
        <w:kinsoku/>
        <w:wordWrap/>
        <w:overflowPunct/>
        <w:topLinePunct w:val="0"/>
        <w:autoSpaceDE/>
        <w:autoSpaceDN w:val="0"/>
        <w:bidi w:val="0"/>
        <w:adjustRightInd/>
        <w:snapToGrid/>
        <w:spacing w:line="440" w:lineRule="exact"/>
        <w:ind w:firstLine="480" w:firstLineChars="200"/>
        <w:textAlignment w:val="auto"/>
        <w:rPr>
          <w:rFonts w:hint="default" w:ascii="Times New Roman" w:hAnsi="Times New Roman" w:eastAsia="宋体" w:cs="宋体"/>
          <w:color w:val="auto"/>
          <w:kern w:val="2"/>
          <w:sz w:val="24"/>
          <w:szCs w:val="24"/>
          <w:highlight w:val="none"/>
          <w:lang w:val="en-US" w:eastAsia="zh-CN" w:bidi="ar-SA"/>
        </w:rPr>
      </w:pPr>
      <w:r>
        <w:rPr>
          <w:rFonts w:hint="default" w:ascii="Times New Roman" w:hAnsi="Times New Roman" w:eastAsia="宋体" w:cs="宋体"/>
          <w:color w:val="auto"/>
          <w:kern w:val="2"/>
          <w:sz w:val="24"/>
          <w:szCs w:val="24"/>
          <w:highlight w:val="none"/>
          <w:lang w:val="en-US" w:eastAsia="zh-CN" w:bidi="ar-SA"/>
        </w:rPr>
        <w:t>2.验收时如发现所交付的货物有短装、次品、损坏或其它不符合标准及本合同规定之情形者，甲方应做出详尽的现场记录，或由甲乙双方签署备忘录，此现场记录或备忘录可用作补充、缺失和更换损坏部件的有效证据,由此产生的时间延误与有关费用由乙方承担，验收期限相应顺延;如质量验收合格，双方签署质量验收报告。</w:t>
      </w:r>
    </w:p>
    <w:p>
      <w:pPr>
        <w:keepNext w:val="0"/>
        <w:keepLines w:val="0"/>
        <w:pageBreakBefore w:val="0"/>
        <w:widowControl w:val="0"/>
        <w:kinsoku/>
        <w:wordWrap/>
        <w:overflowPunct/>
        <w:topLinePunct w:val="0"/>
        <w:autoSpaceDE/>
        <w:autoSpaceDN w:val="0"/>
        <w:bidi w:val="0"/>
        <w:adjustRightInd/>
        <w:snapToGrid/>
        <w:spacing w:line="440" w:lineRule="exact"/>
        <w:ind w:firstLine="480" w:firstLineChars="200"/>
        <w:textAlignment w:val="auto"/>
        <w:rPr>
          <w:rFonts w:hint="default" w:ascii="Times New Roman" w:hAnsi="Times New Roman" w:eastAsia="宋体" w:cs="宋体"/>
          <w:color w:val="auto"/>
          <w:kern w:val="2"/>
          <w:sz w:val="24"/>
          <w:szCs w:val="24"/>
          <w:highlight w:val="none"/>
          <w:lang w:val="en-US" w:eastAsia="zh-CN" w:bidi="ar-SA"/>
        </w:rPr>
      </w:pPr>
      <w:r>
        <w:rPr>
          <w:rFonts w:hint="default" w:ascii="Times New Roman" w:hAnsi="Times New Roman" w:eastAsia="宋体" w:cs="宋体"/>
          <w:color w:val="auto"/>
          <w:kern w:val="2"/>
          <w:sz w:val="24"/>
          <w:szCs w:val="24"/>
          <w:highlight w:val="none"/>
          <w:lang w:val="en-US" w:eastAsia="zh-CN" w:bidi="ar-SA"/>
        </w:rPr>
        <w:t>3</w:t>
      </w:r>
      <w:r>
        <w:rPr>
          <w:rFonts w:hint="eastAsia" w:ascii="Times New Roman" w:hAnsi="Times New Roman" w:eastAsia="宋体" w:cs="宋体"/>
          <w:color w:val="auto"/>
          <w:kern w:val="2"/>
          <w:sz w:val="24"/>
          <w:szCs w:val="24"/>
          <w:highlight w:val="none"/>
          <w:lang w:val="en-US" w:eastAsia="zh-CN" w:bidi="ar-SA"/>
        </w:rPr>
        <w:t>.</w:t>
      </w:r>
      <w:r>
        <w:rPr>
          <w:rFonts w:hint="default" w:ascii="Times New Roman" w:hAnsi="Times New Roman" w:eastAsia="宋体" w:cs="宋体"/>
          <w:color w:val="auto"/>
          <w:kern w:val="2"/>
          <w:sz w:val="24"/>
          <w:szCs w:val="24"/>
          <w:highlight w:val="none"/>
          <w:lang w:val="en-US" w:eastAsia="zh-CN" w:bidi="ar-SA"/>
        </w:rPr>
        <w:t>乙方应将所提供货物的装箱清单、配件、随机工具、用户使用手册、原厂保修卡等资料交付给甲方</w:t>
      </w:r>
      <w:r>
        <w:rPr>
          <w:rFonts w:hint="eastAsia" w:ascii="Times New Roman" w:hAnsi="Times New Roman" w:eastAsia="宋体" w:cs="宋体"/>
          <w:color w:val="auto"/>
          <w:kern w:val="2"/>
          <w:sz w:val="24"/>
          <w:szCs w:val="24"/>
          <w:highlight w:val="none"/>
          <w:lang w:val="en-US" w:eastAsia="zh-CN" w:bidi="ar-SA"/>
        </w:rPr>
        <w:t>；</w:t>
      </w:r>
      <w:r>
        <w:rPr>
          <w:rFonts w:hint="default" w:ascii="Times New Roman" w:hAnsi="Times New Roman" w:eastAsia="宋体" w:cs="宋体"/>
          <w:color w:val="auto"/>
          <w:kern w:val="2"/>
          <w:sz w:val="24"/>
          <w:szCs w:val="24"/>
          <w:highlight w:val="none"/>
          <w:lang w:val="en-US" w:eastAsia="zh-CN" w:bidi="ar-SA"/>
        </w:rPr>
        <w:t>乙方不能完整交付货物及本款规定的单证和工具的，必须负责补齐，否则视为未按合同约定交货。</w:t>
      </w:r>
    </w:p>
    <w:p>
      <w:pPr>
        <w:pStyle w:val="5"/>
        <w:spacing w:line="400" w:lineRule="exact"/>
        <w:ind w:firstLine="482"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五、付款方式</w:t>
      </w:r>
    </w:p>
    <w:p>
      <w:pPr>
        <w:pStyle w:val="9"/>
        <w:ind w:firstLine="480"/>
        <w:rPr>
          <w:rFonts w:hint="default"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1.</w:t>
      </w:r>
      <w:r>
        <w:rPr>
          <w:rFonts w:hint="eastAsia"/>
          <w:color w:val="auto"/>
          <w:szCs w:val="22"/>
          <w:highlight w:val="none"/>
        </w:rPr>
        <w:t>全部</w:t>
      </w:r>
      <w:r>
        <w:rPr>
          <w:rFonts w:hint="eastAsia"/>
          <w:color w:val="auto"/>
          <w:szCs w:val="22"/>
          <w:highlight w:val="none"/>
          <w:lang w:val="en-US" w:eastAsia="zh-CN"/>
        </w:rPr>
        <w:t>车辆交付</w:t>
      </w:r>
      <w:r>
        <w:rPr>
          <w:rFonts w:hint="eastAsia"/>
          <w:color w:val="auto"/>
          <w:szCs w:val="22"/>
          <w:highlight w:val="none"/>
        </w:rPr>
        <w:t>并验收合格之日起，甲方接到乙方通知与票据凭证资料以后的</w:t>
      </w:r>
      <w:r>
        <w:rPr>
          <w:rFonts w:hint="eastAsia"/>
          <w:color w:val="auto"/>
          <w:szCs w:val="22"/>
          <w:highlight w:val="none"/>
          <w:u w:val="single"/>
        </w:rPr>
        <w:t xml:space="preserve">      </w:t>
      </w:r>
      <w:r>
        <w:rPr>
          <w:rFonts w:hint="eastAsia"/>
          <w:color w:val="auto"/>
          <w:szCs w:val="22"/>
          <w:highlight w:val="none"/>
        </w:rPr>
        <w:t>日内，向乙方支付合同价款</w:t>
      </w:r>
      <w:r>
        <w:rPr>
          <w:rFonts w:hint="eastAsia"/>
          <w:color w:val="auto"/>
          <w:szCs w:val="22"/>
          <w:highlight w:val="none"/>
          <w:lang w:val="en-US" w:eastAsia="zh-CN"/>
        </w:rPr>
        <w:t>的95%</w:t>
      </w:r>
      <w:r>
        <w:rPr>
          <w:rFonts w:hint="eastAsia"/>
          <w:color w:val="auto"/>
          <w:szCs w:val="22"/>
          <w:highlight w:val="none"/>
          <w:u w:val="single"/>
        </w:rPr>
        <w:t xml:space="preserve">     </w:t>
      </w:r>
      <w:r>
        <w:rPr>
          <w:rFonts w:hint="eastAsia"/>
          <w:color w:val="auto"/>
          <w:szCs w:val="22"/>
          <w:highlight w:val="none"/>
        </w:rPr>
        <w:t>元，人民币大写</w:t>
      </w:r>
      <w:r>
        <w:rPr>
          <w:rFonts w:hint="eastAsia"/>
          <w:color w:val="auto"/>
          <w:szCs w:val="22"/>
          <w:highlight w:val="none"/>
          <w:u w:val="single"/>
        </w:rPr>
        <w:t xml:space="preserve">    </w:t>
      </w:r>
      <w:r>
        <w:rPr>
          <w:rFonts w:hint="eastAsia"/>
          <w:color w:val="auto"/>
          <w:szCs w:val="22"/>
          <w:highlight w:val="none"/>
        </w:rPr>
        <w:t>元整</w:t>
      </w:r>
      <w:r>
        <w:rPr>
          <w:rFonts w:hint="eastAsia"/>
          <w:color w:val="auto"/>
          <w:szCs w:val="22"/>
          <w:highlight w:val="none"/>
          <w:lang w:eastAsia="zh-CN"/>
        </w:rPr>
        <w:t>，</w:t>
      </w:r>
      <w:r>
        <w:rPr>
          <w:rFonts w:hint="default" w:ascii="Times New Roman" w:hAnsi="Times New Roman" w:eastAsia="宋体" w:cs="宋体"/>
          <w:color w:val="auto"/>
          <w:szCs w:val="22"/>
          <w:highlight w:val="none"/>
          <w:lang w:val="en-US" w:eastAsia="zh-CN"/>
        </w:rPr>
        <w:t>剩余5%作为质量保证金，质保期后无息返还给乙方。</w:t>
      </w:r>
    </w:p>
    <w:p>
      <w:pPr>
        <w:keepNext w:val="0"/>
        <w:keepLines w:val="0"/>
        <w:pageBreakBefore w:val="0"/>
        <w:widowControl w:val="0"/>
        <w:kinsoku/>
        <w:wordWrap/>
        <w:overflowPunct/>
        <w:topLinePunct w:val="0"/>
        <w:autoSpaceDE/>
        <w:autoSpaceDN w:val="0"/>
        <w:bidi w:val="0"/>
        <w:adjustRightInd/>
        <w:snapToGrid/>
        <w:spacing w:line="440" w:lineRule="exact"/>
        <w:ind w:firstLine="480" w:firstLineChars="200"/>
        <w:textAlignment w:val="auto"/>
        <w:rPr>
          <w:rFonts w:hint="eastAsia"/>
          <w:color w:val="auto"/>
          <w:highlight w:val="none"/>
        </w:rPr>
      </w:pPr>
      <w:r>
        <w:rPr>
          <w:rFonts w:hint="eastAsia" w:ascii="Times New Roman" w:hAnsi="Times New Roman" w:eastAsia="宋体" w:cs="宋体"/>
          <w:color w:val="auto"/>
          <w:kern w:val="2"/>
          <w:sz w:val="24"/>
          <w:szCs w:val="22"/>
          <w:highlight w:val="none"/>
          <w:lang w:val="en-US" w:eastAsia="zh-CN" w:bidi="ar-SA"/>
        </w:rPr>
        <w:t>2.</w:t>
      </w:r>
      <w:r>
        <w:rPr>
          <w:rFonts w:hint="default" w:ascii="Times New Roman" w:hAnsi="Times New Roman" w:eastAsia="宋体" w:cs="宋体"/>
          <w:color w:val="auto"/>
          <w:kern w:val="2"/>
          <w:sz w:val="24"/>
          <w:szCs w:val="22"/>
          <w:highlight w:val="none"/>
          <w:lang w:val="en-US" w:eastAsia="zh-CN" w:bidi="ar-SA"/>
        </w:rPr>
        <w:t>乙方须向甲方出具合法有效完整的完税发票及凭证资料进行支付结算。</w:t>
      </w:r>
    </w:p>
    <w:p>
      <w:pPr>
        <w:keepNext w:val="0"/>
        <w:keepLines w:val="0"/>
        <w:pageBreakBefore w:val="0"/>
        <w:widowControl w:val="0"/>
        <w:tabs>
          <w:tab w:val="left" w:pos="420"/>
        </w:tabs>
        <w:kinsoku/>
        <w:wordWrap/>
        <w:overflowPunct/>
        <w:topLinePunct w:val="0"/>
        <w:autoSpaceDE/>
        <w:bidi w:val="0"/>
        <w:adjustRightInd/>
        <w:snapToGrid/>
        <w:spacing w:line="440" w:lineRule="exact"/>
        <w:ind w:firstLine="482" w:firstLineChars="200"/>
        <w:textAlignment w:val="auto"/>
        <w:rPr>
          <w:rFonts w:hint="default" w:ascii="Times New Roman" w:hAnsi="Times New Roman" w:eastAsia="黑体" w:cs="Times New Roman"/>
          <w:b/>
          <w:bCs/>
          <w:color w:val="auto"/>
          <w:kern w:val="2"/>
          <w:sz w:val="24"/>
          <w:szCs w:val="24"/>
          <w:highlight w:val="none"/>
          <w:lang w:val="en-US" w:eastAsia="zh-CN" w:bidi="ar-SA"/>
        </w:rPr>
      </w:pPr>
      <w:bookmarkStart w:id="4" w:name="_Toc217446112"/>
      <w:r>
        <w:rPr>
          <w:rFonts w:hint="default" w:ascii="Times New Roman" w:hAnsi="Times New Roman" w:eastAsia="黑体" w:cs="Times New Roman"/>
          <w:b/>
          <w:bCs/>
          <w:color w:val="auto"/>
          <w:kern w:val="2"/>
          <w:sz w:val="24"/>
          <w:szCs w:val="24"/>
          <w:highlight w:val="none"/>
          <w:lang w:val="en-US" w:eastAsia="zh-CN" w:bidi="ar-SA"/>
        </w:rPr>
        <w:t>六、质保期</w:t>
      </w:r>
    </w:p>
    <w:p>
      <w:pPr>
        <w:keepNext w:val="0"/>
        <w:keepLines w:val="0"/>
        <w:pageBreakBefore w:val="0"/>
        <w:widowControl w:val="0"/>
        <w:kinsoku/>
        <w:wordWrap/>
        <w:overflowPunct/>
        <w:topLinePunct w:val="0"/>
        <w:autoSpaceDE/>
        <w:autoSpaceDN w:val="0"/>
        <w:bidi w:val="0"/>
        <w:adjustRightInd/>
        <w:snapToGrid/>
        <w:spacing w:line="440" w:lineRule="exact"/>
        <w:ind w:firstLine="480" w:firstLineChars="200"/>
        <w:textAlignment w:val="auto"/>
        <w:rPr>
          <w:rFonts w:hint="default" w:ascii="Times New Roman" w:hAnsi="Times New Roman" w:eastAsia="宋体" w:cs="宋体"/>
          <w:color w:val="auto"/>
          <w:kern w:val="2"/>
          <w:sz w:val="24"/>
          <w:szCs w:val="24"/>
          <w:highlight w:val="none"/>
          <w:lang w:val="en-US" w:eastAsia="zh-CN" w:bidi="ar-SA"/>
        </w:rPr>
      </w:pPr>
      <w:r>
        <w:rPr>
          <w:rFonts w:hint="default" w:ascii="Times New Roman" w:hAnsi="Times New Roman" w:eastAsia="宋体" w:cs="宋体"/>
          <w:color w:val="auto"/>
          <w:kern w:val="2"/>
          <w:sz w:val="24"/>
          <w:szCs w:val="24"/>
          <w:highlight w:val="none"/>
          <w:lang w:val="en-US" w:eastAsia="zh-CN" w:bidi="ar-SA"/>
        </w:rPr>
        <w:t>1.质保时间严格按照摩托车三包规定执行，自最终验收合格之日起算。</w:t>
      </w:r>
    </w:p>
    <w:p>
      <w:pPr>
        <w:keepNext w:val="0"/>
        <w:keepLines w:val="0"/>
        <w:pageBreakBefore w:val="0"/>
        <w:widowControl w:val="0"/>
        <w:kinsoku/>
        <w:wordWrap/>
        <w:overflowPunct/>
        <w:topLinePunct w:val="0"/>
        <w:autoSpaceDE/>
        <w:autoSpaceDN w:val="0"/>
        <w:bidi w:val="0"/>
        <w:adjustRightInd/>
        <w:snapToGrid/>
        <w:spacing w:line="440" w:lineRule="exact"/>
        <w:ind w:firstLine="480" w:firstLineChars="200"/>
        <w:textAlignment w:val="auto"/>
        <w:rPr>
          <w:rFonts w:hint="default" w:ascii="Times New Roman" w:hAnsi="Times New Roman" w:eastAsia="宋体" w:cs="宋体"/>
          <w:color w:val="auto"/>
          <w:kern w:val="2"/>
          <w:sz w:val="24"/>
          <w:szCs w:val="24"/>
          <w:highlight w:val="none"/>
          <w:lang w:val="en-US" w:eastAsia="zh-CN" w:bidi="ar-SA"/>
        </w:rPr>
      </w:pPr>
      <w:r>
        <w:rPr>
          <w:rFonts w:hint="default" w:ascii="Times New Roman" w:hAnsi="Times New Roman" w:eastAsia="宋体" w:cs="宋体"/>
          <w:color w:val="auto"/>
          <w:kern w:val="2"/>
          <w:sz w:val="24"/>
          <w:szCs w:val="24"/>
          <w:highlight w:val="none"/>
          <w:lang w:val="en-US" w:eastAsia="zh-CN" w:bidi="ar-SA"/>
        </w:rPr>
        <w:t>2.乙方应积极执行本项目质保政策，对本项目售后服务达到厂商更换条件，以及经2次维修仍无法排除故障的非易损件，应积极予以更换原厂配件。</w:t>
      </w:r>
    </w:p>
    <w:p>
      <w:pPr>
        <w:keepNext w:val="0"/>
        <w:keepLines w:val="0"/>
        <w:pageBreakBefore w:val="0"/>
        <w:widowControl w:val="0"/>
        <w:kinsoku/>
        <w:wordWrap/>
        <w:overflowPunct/>
        <w:topLinePunct w:val="0"/>
        <w:autoSpaceDE/>
        <w:autoSpaceDN w:val="0"/>
        <w:bidi w:val="0"/>
        <w:adjustRightInd/>
        <w:snapToGrid/>
        <w:spacing w:line="440" w:lineRule="exact"/>
        <w:ind w:firstLine="480" w:firstLineChars="200"/>
        <w:textAlignment w:val="auto"/>
        <w:rPr>
          <w:rFonts w:hint="default" w:ascii="Times New Roman" w:hAnsi="Times New Roman" w:eastAsia="宋体" w:cs="宋体"/>
          <w:color w:val="auto"/>
          <w:kern w:val="2"/>
          <w:sz w:val="24"/>
          <w:szCs w:val="24"/>
          <w:highlight w:val="none"/>
          <w:lang w:val="en-US" w:eastAsia="zh-CN" w:bidi="ar-SA"/>
        </w:rPr>
      </w:pPr>
      <w:r>
        <w:rPr>
          <w:rFonts w:hint="default" w:ascii="Times New Roman" w:hAnsi="Times New Roman" w:eastAsia="宋体" w:cs="宋体"/>
          <w:color w:val="auto"/>
          <w:kern w:val="2"/>
          <w:sz w:val="24"/>
          <w:szCs w:val="24"/>
          <w:highlight w:val="none"/>
          <w:lang w:val="en-US" w:eastAsia="zh-CN" w:bidi="ar-SA"/>
        </w:rPr>
        <w:t>3．售后服务工时及配件价格按照本购买项目的成果执行，该价格2年内不得向上变动（自然灾害、摩托车产业链剧烈波动等不可抗力因素除外）。</w:t>
      </w:r>
    </w:p>
    <w:p>
      <w:pPr>
        <w:keepNext w:val="0"/>
        <w:keepLines w:val="0"/>
        <w:pageBreakBefore w:val="0"/>
        <w:widowControl w:val="0"/>
        <w:kinsoku/>
        <w:wordWrap/>
        <w:overflowPunct/>
        <w:topLinePunct w:val="0"/>
        <w:autoSpaceDE/>
        <w:autoSpaceDN w:val="0"/>
        <w:bidi w:val="0"/>
        <w:adjustRightInd/>
        <w:snapToGrid/>
        <w:spacing w:line="440" w:lineRule="exact"/>
        <w:ind w:firstLine="480" w:firstLineChars="200"/>
        <w:textAlignment w:val="auto"/>
        <w:rPr>
          <w:rFonts w:hint="default" w:ascii="Times New Roman" w:hAnsi="Times New Roman" w:eastAsia="宋体" w:cs="宋体"/>
          <w:color w:val="auto"/>
          <w:kern w:val="2"/>
          <w:sz w:val="24"/>
          <w:szCs w:val="24"/>
          <w:highlight w:val="none"/>
          <w:lang w:val="en-US" w:eastAsia="zh-CN" w:bidi="ar-SA"/>
        </w:rPr>
      </w:pPr>
      <w:r>
        <w:rPr>
          <w:rFonts w:hint="default" w:ascii="Times New Roman" w:hAnsi="Times New Roman" w:eastAsia="宋体" w:cs="宋体"/>
          <w:color w:val="auto"/>
          <w:kern w:val="2"/>
          <w:sz w:val="24"/>
          <w:szCs w:val="24"/>
          <w:highlight w:val="none"/>
          <w:lang w:val="en-US" w:eastAsia="zh-CN" w:bidi="ar-SA"/>
        </w:rPr>
        <w:t>4．维修记录报送：乙方每2个月将本项目摩托车的售后服务记录报送甲方。记录内容包括但不限于：维修车号、即时里程、送修时间、维修事项、维修时间、配件使用情况、工时数量、维修总价。</w:t>
      </w:r>
    </w:p>
    <w:p>
      <w:pPr>
        <w:keepNext w:val="0"/>
        <w:keepLines w:val="0"/>
        <w:pageBreakBefore w:val="0"/>
        <w:widowControl w:val="0"/>
        <w:tabs>
          <w:tab w:val="left" w:pos="420"/>
        </w:tabs>
        <w:kinsoku/>
        <w:wordWrap/>
        <w:overflowPunct/>
        <w:topLinePunct w:val="0"/>
        <w:autoSpaceDE/>
        <w:bidi w:val="0"/>
        <w:adjustRightInd/>
        <w:snapToGrid/>
        <w:spacing w:line="440" w:lineRule="exact"/>
        <w:ind w:firstLine="482" w:firstLineChars="200"/>
        <w:textAlignment w:val="auto"/>
        <w:rPr>
          <w:rFonts w:hint="default" w:ascii="Times New Roman" w:hAnsi="Times New Roman" w:eastAsia="黑体" w:cs="Times New Roman"/>
          <w:b/>
          <w:bCs/>
          <w:color w:val="auto"/>
          <w:kern w:val="2"/>
          <w:sz w:val="24"/>
          <w:szCs w:val="24"/>
          <w:highlight w:val="none"/>
          <w:lang w:val="en-US" w:eastAsia="zh-CN" w:bidi="ar-SA"/>
        </w:rPr>
      </w:pPr>
      <w:r>
        <w:rPr>
          <w:rFonts w:hint="default" w:ascii="Times New Roman" w:hAnsi="Times New Roman" w:eastAsia="黑体" w:cs="Times New Roman"/>
          <w:b/>
          <w:bCs/>
          <w:color w:val="auto"/>
          <w:kern w:val="2"/>
          <w:sz w:val="24"/>
          <w:szCs w:val="24"/>
          <w:highlight w:val="none"/>
          <w:lang w:val="en-US" w:eastAsia="zh-CN" w:bidi="ar-SA"/>
        </w:rPr>
        <w:t>七、售后服务</w:t>
      </w:r>
    </w:p>
    <w:p>
      <w:pPr>
        <w:keepNext w:val="0"/>
        <w:keepLines w:val="0"/>
        <w:pageBreakBefore w:val="0"/>
        <w:widowControl w:val="0"/>
        <w:kinsoku/>
        <w:wordWrap/>
        <w:overflowPunct/>
        <w:topLinePunct w:val="0"/>
        <w:autoSpaceDE/>
        <w:autoSpaceDN w:val="0"/>
        <w:bidi w:val="0"/>
        <w:adjustRightInd/>
        <w:snapToGrid/>
        <w:spacing w:line="440" w:lineRule="exact"/>
        <w:ind w:firstLine="480" w:firstLineChars="200"/>
        <w:textAlignment w:val="auto"/>
        <w:rPr>
          <w:rFonts w:hint="eastAsia" w:ascii="Times New Roman" w:hAnsi="Times New Roman" w:eastAsia="宋体" w:cs="宋体"/>
          <w:color w:val="auto"/>
          <w:kern w:val="2"/>
          <w:sz w:val="24"/>
          <w:szCs w:val="24"/>
          <w:highlight w:val="none"/>
          <w:lang w:val="en-US" w:eastAsia="zh-CN" w:bidi="ar-SA"/>
        </w:rPr>
      </w:pPr>
      <w:r>
        <w:rPr>
          <w:rFonts w:hint="default" w:ascii="Times New Roman" w:hAnsi="Times New Roman" w:eastAsia="宋体" w:cs="宋体"/>
          <w:color w:val="auto"/>
          <w:kern w:val="2"/>
          <w:sz w:val="24"/>
          <w:szCs w:val="24"/>
          <w:highlight w:val="none"/>
          <w:lang w:val="en-US" w:eastAsia="zh-CN" w:bidi="ar-SA"/>
        </w:rPr>
        <w:t>1．售后服务：</w:t>
      </w:r>
      <w:r>
        <w:rPr>
          <w:rFonts w:hint="eastAsia" w:ascii="Times New Roman" w:hAnsi="Times New Roman" w:eastAsia="宋体" w:cs="宋体"/>
          <w:color w:val="auto"/>
          <w:kern w:val="2"/>
          <w:sz w:val="24"/>
          <w:szCs w:val="24"/>
          <w:highlight w:val="none"/>
          <w:lang w:val="en-US" w:eastAsia="zh-CN" w:bidi="ar-SA"/>
        </w:rPr>
        <w:t>.......</w:t>
      </w:r>
    </w:p>
    <w:p>
      <w:pPr>
        <w:keepNext w:val="0"/>
        <w:keepLines w:val="0"/>
        <w:pageBreakBefore w:val="0"/>
        <w:widowControl w:val="0"/>
        <w:kinsoku/>
        <w:wordWrap/>
        <w:overflowPunct/>
        <w:topLinePunct w:val="0"/>
        <w:autoSpaceDE/>
        <w:autoSpaceDN w:val="0"/>
        <w:bidi w:val="0"/>
        <w:adjustRightInd/>
        <w:snapToGrid/>
        <w:spacing w:line="440" w:lineRule="exact"/>
        <w:ind w:firstLine="480" w:firstLineChars="200"/>
        <w:textAlignment w:val="auto"/>
        <w:rPr>
          <w:rFonts w:hint="default" w:ascii="Times New Roman" w:hAnsi="Times New Roman" w:eastAsia="宋体" w:cs="宋体"/>
          <w:color w:val="auto"/>
          <w:kern w:val="2"/>
          <w:sz w:val="24"/>
          <w:szCs w:val="24"/>
          <w:highlight w:val="none"/>
          <w:lang w:val="en-US" w:eastAsia="zh-CN" w:bidi="ar-SA"/>
        </w:rPr>
      </w:pPr>
      <w:r>
        <w:rPr>
          <w:rFonts w:hint="default" w:ascii="Times New Roman" w:hAnsi="Times New Roman" w:eastAsia="宋体" w:cs="宋体"/>
          <w:color w:val="auto"/>
          <w:kern w:val="2"/>
          <w:sz w:val="24"/>
          <w:szCs w:val="24"/>
          <w:highlight w:val="none"/>
          <w:lang w:val="en-US" w:eastAsia="zh-CN" w:bidi="ar-SA"/>
        </w:rPr>
        <w:t>2．乙方售后维修提供的摩托车配件均为原厂配件。</w:t>
      </w:r>
    </w:p>
    <w:p>
      <w:pPr>
        <w:keepNext w:val="0"/>
        <w:keepLines w:val="0"/>
        <w:pageBreakBefore w:val="0"/>
        <w:widowControl w:val="0"/>
        <w:kinsoku/>
        <w:wordWrap/>
        <w:overflowPunct/>
        <w:topLinePunct w:val="0"/>
        <w:autoSpaceDE/>
        <w:autoSpaceDN w:val="0"/>
        <w:bidi w:val="0"/>
        <w:adjustRightInd/>
        <w:snapToGrid/>
        <w:spacing w:line="440" w:lineRule="exact"/>
        <w:ind w:firstLine="480" w:firstLineChars="200"/>
        <w:textAlignment w:val="auto"/>
        <w:rPr>
          <w:rFonts w:hint="default" w:ascii="Times New Roman" w:hAnsi="Times New Roman" w:eastAsia="宋体" w:cs="宋体"/>
          <w:color w:val="auto"/>
          <w:kern w:val="2"/>
          <w:sz w:val="24"/>
          <w:szCs w:val="24"/>
          <w:highlight w:val="none"/>
          <w:lang w:val="en-US" w:eastAsia="zh-CN" w:bidi="ar-SA"/>
        </w:rPr>
      </w:pPr>
      <w:r>
        <w:rPr>
          <w:rFonts w:hint="default" w:ascii="Times New Roman" w:hAnsi="Times New Roman" w:eastAsia="宋体" w:cs="宋体"/>
          <w:color w:val="auto"/>
          <w:kern w:val="2"/>
          <w:sz w:val="24"/>
          <w:szCs w:val="24"/>
          <w:highlight w:val="none"/>
          <w:lang w:val="en-US" w:eastAsia="zh-CN" w:bidi="ar-SA"/>
        </w:rPr>
        <w:t>3．乙方提供有关售后服务工时和配件的价格，以及主要类别的售后维修服务及其对应的工时数量的书面说明材料（见清单）。</w:t>
      </w:r>
    </w:p>
    <w:p>
      <w:pPr>
        <w:keepNext w:val="0"/>
        <w:keepLines w:val="0"/>
        <w:pageBreakBefore w:val="0"/>
        <w:widowControl w:val="0"/>
        <w:kinsoku/>
        <w:wordWrap/>
        <w:overflowPunct/>
        <w:topLinePunct w:val="0"/>
        <w:autoSpaceDE/>
        <w:autoSpaceDN w:val="0"/>
        <w:bidi w:val="0"/>
        <w:adjustRightInd/>
        <w:snapToGrid/>
        <w:spacing w:line="440" w:lineRule="exact"/>
        <w:ind w:firstLine="480" w:firstLineChars="200"/>
        <w:textAlignment w:val="auto"/>
        <w:rPr>
          <w:rFonts w:hint="default" w:ascii="Times New Roman" w:hAnsi="Times New Roman" w:eastAsia="宋体" w:cs="宋体"/>
          <w:color w:val="auto"/>
          <w:kern w:val="2"/>
          <w:sz w:val="24"/>
          <w:szCs w:val="24"/>
          <w:highlight w:val="none"/>
          <w:lang w:val="en-US" w:eastAsia="zh-CN" w:bidi="ar-SA"/>
        </w:rPr>
      </w:pPr>
      <w:r>
        <w:rPr>
          <w:rFonts w:hint="default" w:ascii="Times New Roman" w:hAnsi="Times New Roman" w:eastAsia="宋体" w:cs="宋体"/>
          <w:color w:val="auto"/>
          <w:kern w:val="2"/>
          <w:sz w:val="24"/>
          <w:szCs w:val="24"/>
          <w:highlight w:val="none"/>
          <w:lang w:val="en-US" w:eastAsia="zh-CN" w:bidi="ar-SA"/>
        </w:rPr>
        <w:t>4．售后服务点保证</w:t>
      </w:r>
    </w:p>
    <w:p>
      <w:pPr>
        <w:keepNext w:val="0"/>
        <w:keepLines w:val="0"/>
        <w:pageBreakBefore w:val="0"/>
        <w:widowControl w:val="0"/>
        <w:kinsoku/>
        <w:wordWrap/>
        <w:overflowPunct/>
        <w:topLinePunct w:val="0"/>
        <w:autoSpaceDE/>
        <w:autoSpaceDN w:val="0"/>
        <w:bidi w:val="0"/>
        <w:adjustRightInd/>
        <w:snapToGrid/>
        <w:spacing w:line="440" w:lineRule="exact"/>
        <w:ind w:firstLine="480" w:firstLineChars="200"/>
        <w:textAlignment w:val="auto"/>
        <w:rPr>
          <w:rFonts w:hint="default" w:ascii="Times New Roman" w:hAnsi="Times New Roman" w:eastAsia="宋体" w:cs="宋体"/>
          <w:color w:val="auto"/>
          <w:kern w:val="2"/>
          <w:sz w:val="24"/>
          <w:szCs w:val="24"/>
          <w:highlight w:val="none"/>
          <w:lang w:val="en-US" w:eastAsia="zh-CN" w:bidi="ar-SA"/>
        </w:rPr>
      </w:pPr>
      <w:r>
        <w:rPr>
          <w:rFonts w:hint="default" w:ascii="Times New Roman" w:hAnsi="Times New Roman" w:eastAsia="宋体" w:cs="宋体"/>
          <w:color w:val="auto"/>
          <w:kern w:val="2"/>
          <w:sz w:val="24"/>
          <w:szCs w:val="24"/>
          <w:highlight w:val="none"/>
          <w:lang w:val="en-US" w:eastAsia="zh-CN" w:bidi="ar-SA"/>
        </w:rPr>
        <w:t>本项目在合同签订前，乙方在巴中市设立独立的、交通便利的售后维修服务站（提供相关证明材料，如：房产证、租赁合同等），并组织甲方实地考察。</w:t>
      </w:r>
    </w:p>
    <w:p>
      <w:pPr>
        <w:keepNext w:val="0"/>
        <w:keepLines w:val="0"/>
        <w:pageBreakBefore w:val="0"/>
        <w:widowControl w:val="0"/>
        <w:kinsoku/>
        <w:wordWrap/>
        <w:overflowPunct/>
        <w:topLinePunct w:val="0"/>
        <w:autoSpaceDE/>
        <w:autoSpaceDN w:val="0"/>
        <w:bidi w:val="0"/>
        <w:adjustRightInd/>
        <w:snapToGrid/>
        <w:spacing w:line="440" w:lineRule="exact"/>
        <w:ind w:firstLine="480" w:firstLineChars="200"/>
        <w:textAlignment w:val="auto"/>
        <w:rPr>
          <w:rFonts w:hint="default" w:ascii="Times New Roman" w:hAnsi="Times New Roman" w:eastAsia="宋体" w:cs="宋体"/>
          <w:color w:val="auto"/>
          <w:kern w:val="2"/>
          <w:sz w:val="24"/>
          <w:szCs w:val="24"/>
          <w:highlight w:val="none"/>
          <w:lang w:val="en-US" w:eastAsia="zh-CN" w:bidi="ar-SA"/>
        </w:rPr>
      </w:pPr>
      <w:r>
        <w:rPr>
          <w:rFonts w:hint="default" w:ascii="Times New Roman" w:hAnsi="Times New Roman" w:eastAsia="宋体" w:cs="宋体"/>
          <w:color w:val="auto"/>
          <w:kern w:val="2"/>
          <w:sz w:val="24"/>
          <w:szCs w:val="24"/>
          <w:highlight w:val="none"/>
          <w:lang w:val="en-US" w:eastAsia="zh-CN" w:bidi="ar-SA"/>
        </w:rPr>
        <w:t>5．原厂配件和工时价格确认</w:t>
      </w:r>
    </w:p>
    <w:p>
      <w:pPr>
        <w:keepNext w:val="0"/>
        <w:keepLines w:val="0"/>
        <w:pageBreakBefore w:val="0"/>
        <w:widowControl w:val="0"/>
        <w:kinsoku/>
        <w:wordWrap/>
        <w:overflowPunct/>
        <w:topLinePunct w:val="0"/>
        <w:autoSpaceDE/>
        <w:autoSpaceDN w:val="0"/>
        <w:bidi w:val="0"/>
        <w:adjustRightInd/>
        <w:snapToGrid/>
        <w:spacing w:line="440" w:lineRule="exact"/>
        <w:ind w:firstLine="480" w:firstLineChars="200"/>
        <w:textAlignment w:val="auto"/>
        <w:rPr>
          <w:rFonts w:hint="default" w:ascii="Times New Roman" w:hAnsi="Times New Roman" w:eastAsia="方正仿宋_GBK" w:cs="Times New Roman"/>
          <w:b/>
          <w:bCs/>
          <w:color w:val="auto"/>
          <w:sz w:val="28"/>
          <w:szCs w:val="28"/>
          <w:highlight w:val="none"/>
        </w:rPr>
      </w:pPr>
      <w:r>
        <w:rPr>
          <w:rFonts w:hint="default" w:ascii="Times New Roman" w:hAnsi="Times New Roman" w:eastAsia="宋体" w:cs="宋体"/>
          <w:color w:val="auto"/>
          <w:kern w:val="2"/>
          <w:sz w:val="24"/>
          <w:szCs w:val="24"/>
          <w:highlight w:val="none"/>
          <w:lang w:val="en-US" w:eastAsia="zh-CN" w:bidi="ar-SA"/>
        </w:rPr>
        <w:t xml:space="preserve">本项目合同签订前，甲方有权就乙方提供的原厂配件价格、工时价格、服务事项对应的工时数量进行市场确认。经确认，甲方发现乙方提交的价格高于市场执行价的，甲方有权要求乙方就以上价格和工时数量进行调整。此类情形下，乙方拒绝按甲方的要求作出调整的，甲方有权拒绝签订合同，且乙方的此类行为将被直接视为“价格歧视”，由甲方交由工商和财政部门依法处理；由此造成的一切损失由乙方自行承担。                     </w:t>
      </w:r>
      <w:r>
        <w:rPr>
          <w:rFonts w:hint="default" w:ascii="Times New Roman" w:hAnsi="Times New Roman" w:eastAsia="方正仿宋_GBK" w:cs="Times New Roman"/>
          <w:color w:val="auto"/>
          <w:sz w:val="28"/>
          <w:szCs w:val="28"/>
          <w:highlight w:val="none"/>
        </w:rPr>
        <w:t xml:space="preserve">                                                                                                                                                             </w:t>
      </w:r>
    </w:p>
    <w:p>
      <w:pPr>
        <w:keepNext w:val="0"/>
        <w:keepLines w:val="0"/>
        <w:pageBreakBefore w:val="0"/>
        <w:widowControl w:val="0"/>
        <w:tabs>
          <w:tab w:val="left" w:pos="420"/>
        </w:tabs>
        <w:kinsoku/>
        <w:wordWrap/>
        <w:overflowPunct/>
        <w:topLinePunct w:val="0"/>
        <w:autoSpaceDE/>
        <w:bidi w:val="0"/>
        <w:adjustRightInd/>
        <w:snapToGrid/>
        <w:spacing w:line="440" w:lineRule="exact"/>
        <w:ind w:firstLine="482" w:firstLineChars="200"/>
        <w:textAlignment w:val="auto"/>
        <w:rPr>
          <w:rFonts w:hint="default" w:ascii="Times New Roman" w:hAnsi="Times New Roman" w:eastAsia="黑体" w:cs="Times New Roman"/>
          <w:b/>
          <w:bCs/>
          <w:color w:val="auto"/>
          <w:kern w:val="2"/>
          <w:sz w:val="24"/>
          <w:szCs w:val="24"/>
          <w:highlight w:val="none"/>
          <w:lang w:val="en-US" w:eastAsia="zh-CN" w:bidi="ar-SA"/>
        </w:rPr>
      </w:pPr>
      <w:r>
        <w:rPr>
          <w:rFonts w:hint="eastAsia" w:ascii="Times New Roman" w:hAnsi="Times New Roman" w:eastAsia="黑体" w:cs="Times New Roman"/>
          <w:b/>
          <w:bCs/>
          <w:color w:val="auto"/>
          <w:kern w:val="2"/>
          <w:sz w:val="24"/>
          <w:szCs w:val="24"/>
          <w:highlight w:val="none"/>
          <w:lang w:val="en-US" w:eastAsia="zh-CN" w:bidi="ar-SA"/>
        </w:rPr>
        <w:t>八、违约责任</w:t>
      </w:r>
    </w:p>
    <w:p>
      <w:pPr>
        <w:pStyle w:val="9"/>
        <w:ind w:firstLine="480"/>
        <w:rPr>
          <w:rFonts w:hint="eastAsia"/>
          <w:color w:val="auto"/>
          <w:highlight w:val="none"/>
        </w:rPr>
      </w:pPr>
      <w:r>
        <w:rPr>
          <w:rFonts w:hint="eastAsia"/>
          <w:color w:val="auto"/>
          <w:highlight w:val="none"/>
        </w:rPr>
        <w:t>1、甲方违约责任</w:t>
      </w:r>
    </w:p>
    <w:p>
      <w:pPr>
        <w:pStyle w:val="9"/>
        <w:ind w:firstLine="480"/>
        <w:rPr>
          <w:rFonts w:hint="eastAsia"/>
          <w:color w:val="auto"/>
          <w:highlight w:val="none"/>
        </w:rPr>
      </w:pPr>
      <w:r>
        <w:rPr>
          <w:rFonts w:hint="eastAsia"/>
          <w:color w:val="auto"/>
          <w:highlight w:val="none"/>
        </w:rPr>
        <w:t>（1） 甲方无正当理由拒收货物的，甲方应偿付合同总价百分之</w:t>
      </w:r>
      <w:r>
        <w:rPr>
          <w:rFonts w:hint="eastAsia"/>
          <w:color w:val="auto"/>
          <w:highlight w:val="none"/>
          <w:u w:val="single"/>
        </w:rPr>
        <w:t xml:space="preserve">   </w:t>
      </w:r>
      <w:r>
        <w:rPr>
          <w:rFonts w:hint="eastAsia"/>
          <w:color w:val="auto"/>
          <w:highlight w:val="none"/>
        </w:rPr>
        <w:t>的违约金；</w:t>
      </w:r>
    </w:p>
    <w:p>
      <w:pPr>
        <w:pStyle w:val="9"/>
        <w:ind w:firstLine="480"/>
        <w:rPr>
          <w:rFonts w:hint="eastAsia"/>
          <w:color w:val="auto"/>
          <w:highlight w:val="none"/>
        </w:rPr>
      </w:pPr>
      <w:r>
        <w:rPr>
          <w:rFonts w:hint="eastAsia"/>
          <w:color w:val="auto"/>
          <w:highlight w:val="none"/>
        </w:rPr>
        <w:t>（2） 甲方逾期支付货款的，除应及时付足货款外，应向乙方偿付欠款总额万分之</w:t>
      </w:r>
      <w:r>
        <w:rPr>
          <w:rFonts w:hint="eastAsia"/>
          <w:color w:val="auto"/>
          <w:highlight w:val="none"/>
          <w:u w:val="single"/>
        </w:rPr>
        <w:t xml:space="preserve">   </w:t>
      </w:r>
      <w:r>
        <w:rPr>
          <w:rFonts w:hint="eastAsia"/>
          <w:color w:val="auto"/>
          <w:highlight w:val="none"/>
        </w:rPr>
        <w:t>/天的违约金；逾期付款超过</w:t>
      </w:r>
      <w:r>
        <w:rPr>
          <w:rFonts w:hint="eastAsia"/>
          <w:color w:val="auto"/>
          <w:highlight w:val="none"/>
          <w:u w:val="single"/>
        </w:rPr>
        <w:t xml:space="preserve">  </w:t>
      </w:r>
      <w:r>
        <w:rPr>
          <w:rFonts w:hint="eastAsia"/>
          <w:color w:val="auto"/>
          <w:highlight w:val="none"/>
        </w:rPr>
        <w:t>天的，乙方有权终止合同；</w:t>
      </w:r>
    </w:p>
    <w:p>
      <w:pPr>
        <w:pStyle w:val="9"/>
        <w:ind w:firstLine="480"/>
        <w:rPr>
          <w:rFonts w:hint="eastAsia"/>
          <w:color w:val="auto"/>
          <w:highlight w:val="none"/>
        </w:rPr>
      </w:pPr>
      <w:r>
        <w:rPr>
          <w:rFonts w:hint="eastAsia"/>
          <w:color w:val="auto"/>
          <w:highlight w:val="none"/>
        </w:rPr>
        <w:t>（3） 甲方偿付的违约金不足以弥补乙方损失的，还应按乙方损失尚未弥补的部分，支付赔偿金给乙方。</w:t>
      </w:r>
    </w:p>
    <w:p>
      <w:pPr>
        <w:pStyle w:val="9"/>
        <w:ind w:firstLine="480"/>
        <w:rPr>
          <w:rFonts w:hint="eastAsia"/>
          <w:color w:val="auto"/>
          <w:highlight w:val="none"/>
        </w:rPr>
      </w:pPr>
      <w:r>
        <w:rPr>
          <w:rFonts w:hint="eastAsia"/>
          <w:color w:val="auto"/>
          <w:highlight w:val="none"/>
        </w:rPr>
        <w:t>2、乙方违约责任</w:t>
      </w:r>
    </w:p>
    <w:p>
      <w:pPr>
        <w:pStyle w:val="9"/>
        <w:ind w:firstLine="480"/>
        <w:rPr>
          <w:rFonts w:hint="eastAsia"/>
          <w:color w:val="auto"/>
          <w:highlight w:val="none"/>
        </w:rPr>
      </w:pPr>
      <w:r>
        <w:rPr>
          <w:rFonts w:hint="eastAsia"/>
          <w:color w:val="auto"/>
          <w:highlight w:val="none"/>
        </w:rPr>
        <w:t>（1）乙方交付的货物质量不符合合同规定的，乙方应向甲方支付合同总价的百分之</w:t>
      </w:r>
      <w:r>
        <w:rPr>
          <w:rFonts w:hint="eastAsia"/>
          <w:color w:val="auto"/>
          <w:highlight w:val="none"/>
          <w:u w:val="single"/>
        </w:rPr>
        <w:t xml:space="preserve">  </w:t>
      </w:r>
      <w:r>
        <w:rPr>
          <w:rFonts w:hint="eastAsia"/>
          <w:color w:val="auto"/>
          <w:highlight w:val="none"/>
        </w:rPr>
        <w:t>的违约金，并须在合同规定的交货时间内更换合格的货物给甲方，否则，视作乙方不能交付货物而违约，按本条本款下述第“（2）”项规定由乙方偿付违约赔偿金给甲方。</w:t>
      </w:r>
    </w:p>
    <w:p>
      <w:pPr>
        <w:pStyle w:val="9"/>
        <w:ind w:firstLine="480"/>
        <w:rPr>
          <w:rFonts w:hint="eastAsia"/>
          <w:color w:val="auto"/>
          <w:highlight w:val="none"/>
        </w:rPr>
      </w:pPr>
      <w:r>
        <w:rPr>
          <w:rFonts w:hint="eastAsia"/>
          <w:color w:val="auto"/>
          <w:highlight w:val="none"/>
        </w:rPr>
        <w:t>（2）乙方不能交付货物或逾期交付货物而违约的，除应及时交足货物外，应向甲方偿付逾期交货部分货款总额的万分之</w:t>
      </w:r>
      <w:r>
        <w:rPr>
          <w:rFonts w:hint="eastAsia"/>
          <w:color w:val="auto"/>
          <w:highlight w:val="none"/>
          <w:u w:val="single"/>
        </w:rPr>
        <w:t xml:space="preserve">   </w:t>
      </w:r>
      <w:r>
        <w:rPr>
          <w:rFonts w:hint="eastAsia"/>
          <w:color w:val="auto"/>
          <w:highlight w:val="none"/>
        </w:rPr>
        <w:t>/天的违约金；逾期交货超过</w:t>
      </w:r>
      <w:r>
        <w:rPr>
          <w:rFonts w:hint="eastAsia"/>
          <w:color w:val="auto"/>
          <w:szCs w:val="21"/>
          <w:highlight w:val="none"/>
        </w:rPr>
        <w:t>XX</w:t>
      </w:r>
      <w:r>
        <w:rPr>
          <w:rFonts w:hint="eastAsia"/>
          <w:color w:val="auto"/>
          <w:highlight w:val="none"/>
        </w:rPr>
        <w:t>天，甲方有权终止合同，乙方则应按合同总价的百分之</w:t>
      </w:r>
      <w:r>
        <w:rPr>
          <w:rFonts w:hint="eastAsia"/>
          <w:color w:val="auto"/>
          <w:highlight w:val="none"/>
          <w:u w:val="single"/>
        </w:rPr>
        <w:t xml:space="preserve">  </w:t>
      </w:r>
      <w:r>
        <w:rPr>
          <w:rFonts w:hint="eastAsia"/>
          <w:color w:val="auto"/>
          <w:highlight w:val="none"/>
        </w:rPr>
        <w:t>的款额向甲方偿付赔偿金，并须全额退还甲方已经付给乙方的货款及其利息。</w:t>
      </w:r>
    </w:p>
    <w:p>
      <w:pPr>
        <w:pStyle w:val="9"/>
        <w:ind w:firstLine="480"/>
        <w:rPr>
          <w:rFonts w:hint="eastAsia"/>
          <w:color w:val="auto"/>
          <w:highlight w:val="none"/>
        </w:rPr>
      </w:pPr>
      <w:r>
        <w:rPr>
          <w:rFonts w:hint="eastAsia"/>
          <w:color w:val="auto"/>
          <w:highlight w:val="none"/>
        </w:rPr>
        <w:t>（3）乙方货物经甲方送交具有法定资格条件的质量技术监督机构检测后，如检测结果认定货物质量不符合本合同规定标准的，则视为乙方没有按时交货而违约，乙方须在</w:t>
      </w:r>
      <w:r>
        <w:rPr>
          <w:rFonts w:hint="eastAsia"/>
          <w:color w:val="auto"/>
          <w:highlight w:val="none"/>
          <w:u w:val="single"/>
        </w:rPr>
        <w:t xml:space="preserve">   </w:t>
      </w:r>
      <w:r>
        <w:rPr>
          <w:rFonts w:hint="eastAsia"/>
          <w:color w:val="auto"/>
          <w:highlight w:val="none"/>
        </w:rPr>
        <w:t>天内无条件更换合格的货物，如逾期不能更换合格的货物，甲方有权终止本合同，乙方应另付合同总价的百分之</w:t>
      </w:r>
      <w:r>
        <w:rPr>
          <w:rFonts w:hint="eastAsia"/>
          <w:color w:val="auto"/>
          <w:highlight w:val="none"/>
          <w:u w:val="single"/>
        </w:rPr>
        <w:t xml:space="preserve">   </w:t>
      </w:r>
      <w:r>
        <w:rPr>
          <w:rFonts w:hint="eastAsia"/>
          <w:color w:val="auto"/>
          <w:highlight w:val="none"/>
        </w:rPr>
        <w:t>的赔偿金给甲方。</w:t>
      </w:r>
    </w:p>
    <w:p>
      <w:pPr>
        <w:pStyle w:val="9"/>
        <w:ind w:firstLine="480"/>
        <w:rPr>
          <w:rFonts w:hint="eastAsia"/>
          <w:color w:val="auto"/>
          <w:highlight w:val="none"/>
        </w:rPr>
      </w:pPr>
      <w:r>
        <w:rPr>
          <w:rFonts w:hint="eastAsia"/>
          <w:color w:val="auto"/>
          <w:highlight w:val="none"/>
        </w:rPr>
        <w:t>（4）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合同总价的百分之</w:t>
      </w:r>
      <w:r>
        <w:rPr>
          <w:rFonts w:hint="eastAsia"/>
          <w:color w:val="auto"/>
          <w:highlight w:val="none"/>
          <w:u w:val="single"/>
        </w:rPr>
        <w:t xml:space="preserve">   </w:t>
      </w:r>
      <w:r>
        <w:rPr>
          <w:rFonts w:hint="eastAsia"/>
          <w:color w:val="auto"/>
          <w:highlight w:val="none"/>
        </w:rPr>
        <w:t>向甲方支付违约金并赔偿因此给甲方造成的一切损失。</w:t>
      </w:r>
    </w:p>
    <w:p>
      <w:pPr>
        <w:pStyle w:val="9"/>
        <w:ind w:firstLine="480"/>
        <w:rPr>
          <w:rFonts w:hint="eastAsia"/>
          <w:color w:val="auto"/>
          <w:highlight w:val="none"/>
        </w:rPr>
      </w:pPr>
      <w:r>
        <w:rPr>
          <w:rFonts w:hint="eastAsia"/>
          <w:color w:val="auto"/>
          <w:highlight w:val="none"/>
        </w:rPr>
        <w:t>（5）乙方偿付的违约金不足以弥补甲方损失的，还应按甲方损失尚未弥补的部分，支付赔偿金给甲方。</w:t>
      </w:r>
    </w:p>
    <w:p>
      <w:pPr>
        <w:keepNext w:val="0"/>
        <w:keepLines w:val="0"/>
        <w:pageBreakBefore w:val="0"/>
        <w:widowControl w:val="0"/>
        <w:tabs>
          <w:tab w:val="left" w:pos="420"/>
        </w:tabs>
        <w:kinsoku/>
        <w:wordWrap/>
        <w:overflowPunct/>
        <w:topLinePunct w:val="0"/>
        <w:autoSpaceDE/>
        <w:bidi w:val="0"/>
        <w:adjustRightInd/>
        <w:snapToGrid/>
        <w:spacing w:line="440" w:lineRule="exact"/>
        <w:ind w:firstLine="482" w:firstLineChars="200"/>
        <w:textAlignment w:val="auto"/>
        <w:rPr>
          <w:rFonts w:hint="default" w:ascii="Times New Roman" w:hAnsi="Times New Roman" w:eastAsia="黑体" w:cs="Times New Roman"/>
          <w:b/>
          <w:bCs/>
          <w:color w:val="auto"/>
          <w:kern w:val="2"/>
          <w:sz w:val="24"/>
          <w:szCs w:val="24"/>
          <w:highlight w:val="none"/>
          <w:lang w:val="en-US" w:eastAsia="zh-CN" w:bidi="ar-SA"/>
        </w:rPr>
      </w:pPr>
      <w:r>
        <w:rPr>
          <w:rFonts w:hint="eastAsia" w:ascii="Times New Roman" w:hAnsi="Times New Roman" w:eastAsia="黑体" w:cs="Times New Roman"/>
          <w:b/>
          <w:bCs/>
          <w:color w:val="auto"/>
          <w:kern w:val="2"/>
          <w:sz w:val="24"/>
          <w:szCs w:val="24"/>
          <w:highlight w:val="none"/>
          <w:lang w:val="en-US" w:eastAsia="zh-CN" w:bidi="ar-SA"/>
        </w:rPr>
        <w:t>九、</w:t>
      </w:r>
      <w:r>
        <w:rPr>
          <w:rFonts w:hint="default" w:ascii="Times New Roman" w:hAnsi="Times New Roman" w:eastAsia="黑体" w:cs="Times New Roman"/>
          <w:b/>
          <w:bCs/>
          <w:color w:val="auto"/>
          <w:kern w:val="2"/>
          <w:sz w:val="24"/>
          <w:szCs w:val="24"/>
          <w:highlight w:val="none"/>
          <w:lang w:val="en-US" w:eastAsia="zh-CN" w:bidi="ar-SA"/>
        </w:rPr>
        <w:t>知识产权</w:t>
      </w:r>
    </w:p>
    <w:p>
      <w:pPr>
        <w:keepNext w:val="0"/>
        <w:keepLines w:val="0"/>
        <w:pageBreakBefore w:val="0"/>
        <w:widowControl w:val="0"/>
        <w:kinsoku/>
        <w:wordWrap/>
        <w:overflowPunct/>
        <w:topLinePunct w:val="0"/>
        <w:autoSpaceDE/>
        <w:autoSpaceDN w:val="0"/>
        <w:bidi w:val="0"/>
        <w:adjustRightInd/>
        <w:snapToGrid/>
        <w:spacing w:line="440" w:lineRule="exact"/>
        <w:ind w:firstLine="480" w:firstLineChars="200"/>
        <w:textAlignment w:val="auto"/>
        <w:rPr>
          <w:rFonts w:hint="default" w:ascii="Times New Roman" w:hAnsi="Times New Roman" w:eastAsia="宋体" w:cs="宋体"/>
          <w:color w:val="auto"/>
          <w:kern w:val="2"/>
          <w:sz w:val="24"/>
          <w:szCs w:val="24"/>
          <w:highlight w:val="none"/>
          <w:lang w:val="en-US" w:eastAsia="zh-CN" w:bidi="ar-SA"/>
        </w:rPr>
      </w:pPr>
      <w:r>
        <w:rPr>
          <w:rFonts w:hint="default" w:ascii="Times New Roman" w:hAnsi="Times New Roman" w:eastAsia="宋体" w:cs="宋体"/>
          <w:color w:val="auto"/>
          <w:kern w:val="2"/>
          <w:sz w:val="24"/>
          <w:szCs w:val="24"/>
          <w:highlight w:val="none"/>
          <w:lang w:val="en-US" w:eastAsia="zh-CN" w:bidi="ar-SA"/>
        </w:rPr>
        <w:t>采购人在中华人民共和国境内使用投标人提供的货物及服务时免受第三方提出的侵犯其专利权或其它知识产权的起诉。如果第三方提出侵权指控，成交供应商应承担由此而引起的一切法律责任和费用。</w:t>
      </w:r>
    </w:p>
    <w:p>
      <w:pPr>
        <w:keepNext w:val="0"/>
        <w:keepLines w:val="0"/>
        <w:pageBreakBefore w:val="0"/>
        <w:widowControl w:val="0"/>
        <w:tabs>
          <w:tab w:val="left" w:pos="420"/>
        </w:tabs>
        <w:kinsoku/>
        <w:wordWrap/>
        <w:overflowPunct/>
        <w:topLinePunct w:val="0"/>
        <w:autoSpaceDE/>
        <w:bidi w:val="0"/>
        <w:adjustRightInd/>
        <w:snapToGrid/>
        <w:spacing w:line="440" w:lineRule="exact"/>
        <w:ind w:firstLine="482" w:firstLineChars="200"/>
        <w:textAlignment w:val="auto"/>
        <w:rPr>
          <w:rFonts w:hint="default" w:ascii="Times New Roman" w:hAnsi="Times New Roman" w:eastAsia="黑体" w:cs="Times New Roman"/>
          <w:b/>
          <w:bCs/>
          <w:color w:val="auto"/>
          <w:kern w:val="2"/>
          <w:sz w:val="24"/>
          <w:szCs w:val="24"/>
          <w:highlight w:val="none"/>
          <w:lang w:val="en-US" w:eastAsia="zh-CN" w:bidi="ar-SA"/>
        </w:rPr>
      </w:pPr>
      <w:r>
        <w:rPr>
          <w:rFonts w:hint="eastAsia" w:ascii="Times New Roman" w:hAnsi="Times New Roman" w:eastAsia="黑体" w:cs="Times New Roman"/>
          <w:b/>
          <w:bCs/>
          <w:color w:val="auto"/>
          <w:kern w:val="2"/>
          <w:sz w:val="24"/>
          <w:szCs w:val="24"/>
          <w:highlight w:val="none"/>
          <w:lang w:val="en-US" w:eastAsia="zh-CN" w:bidi="ar-SA"/>
        </w:rPr>
        <w:t>十、不可抗力事件处理</w:t>
      </w:r>
    </w:p>
    <w:p>
      <w:pPr>
        <w:keepNext w:val="0"/>
        <w:keepLines w:val="0"/>
        <w:pageBreakBefore w:val="0"/>
        <w:widowControl w:val="0"/>
        <w:kinsoku/>
        <w:wordWrap/>
        <w:overflowPunct/>
        <w:topLinePunct w:val="0"/>
        <w:autoSpaceDE/>
        <w:autoSpaceDN w:val="0"/>
        <w:bidi w:val="0"/>
        <w:adjustRightInd/>
        <w:snapToGrid/>
        <w:spacing w:line="440" w:lineRule="exact"/>
        <w:ind w:firstLine="480" w:firstLineChars="200"/>
        <w:textAlignment w:val="auto"/>
        <w:rPr>
          <w:rFonts w:hint="eastAsia" w:ascii="Times New Roman" w:hAnsi="Times New Roman" w:eastAsia="宋体" w:cs="宋体"/>
          <w:color w:val="auto"/>
          <w:kern w:val="2"/>
          <w:sz w:val="24"/>
          <w:szCs w:val="24"/>
          <w:highlight w:val="none"/>
          <w:lang w:val="en-US" w:eastAsia="zh-CN" w:bidi="ar-SA"/>
        </w:rPr>
      </w:pPr>
      <w:r>
        <w:rPr>
          <w:rFonts w:hint="eastAsia" w:ascii="Times New Roman" w:hAnsi="Times New Roman" w:eastAsia="宋体" w:cs="宋体"/>
          <w:color w:val="auto"/>
          <w:kern w:val="2"/>
          <w:sz w:val="24"/>
          <w:szCs w:val="24"/>
          <w:highlight w:val="none"/>
          <w:lang w:val="en-US" w:eastAsia="zh-CN" w:bidi="ar-SA"/>
        </w:rPr>
        <w:t>1.在合同有效期内，任何一方因不可抗力事件导致不能履行合同，则合同履行期可延长，其延长期与不可抗力影期相同。</w:t>
      </w:r>
    </w:p>
    <w:p>
      <w:pPr>
        <w:keepNext w:val="0"/>
        <w:keepLines w:val="0"/>
        <w:pageBreakBefore w:val="0"/>
        <w:widowControl w:val="0"/>
        <w:kinsoku/>
        <w:wordWrap/>
        <w:overflowPunct/>
        <w:topLinePunct w:val="0"/>
        <w:autoSpaceDE/>
        <w:autoSpaceDN w:val="0"/>
        <w:bidi w:val="0"/>
        <w:adjustRightInd/>
        <w:snapToGrid/>
        <w:spacing w:line="440" w:lineRule="exact"/>
        <w:ind w:firstLine="480" w:firstLineChars="200"/>
        <w:textAlignment w:val="auto"/>
        <w:rPr>
          <w:rFonts w:hint="eastAsia" w:ascii="Times New Roman" w:hAnsi="Times New Roman" w:eastAsia="宋体" w:cs="宋体"/>
          <w:color w:val="auto"/>
          <w:kern w:val="2"/>
          <w:sz w:val="24"/>
          <w:szCs w:val="24"/>
          <w:highlight w:val="none"/>
          <w:lang w:val="en-US" w:eastAsia="zh-CN" w:bidi="ar-SA"/>
        </w:rPr>
      </w:pPr>
      <w:r>
        <w:rPr>
          <w:rFonts w:hint="eastAsia" w:ascii="Times New Roman" w:hAnsi="Times New Roman" w:eastAsia="宋体" w:cs="宋体"/>
          <w:color w:val="auto"/>
          <w:kern w:val="2"/>
          <w:sz w:val="24"/>
          <w:szCs w:val="24"/>
          <w:highlight w:val="none"/>
          <w:lang w:val="en-US" w:eastAsia="zh-CN" w:bidi="ar-SA"/>
        </w:rPr>
        <w:t>2.不可抗力事件发生后，应立即通知对方，并寄送有关权威机构出具的证明。</w:t>
      </w:r>
    </w:p>
    <w:p>
      <w:pPr>
        <w:keepNext w:val="0"/>
        <w:keepLines w:val="0"/>
        <w:pageBreakBefore w:val="0"/>
        <w:widowControl w:val="0"/>
        <w:kinsoku/>
        <w:wordWrap/>
        <w:overflowPunct/>
        <w:topLinePunct w:val="0"/>
        <w:autoSpaceDE/>
        <w:autoSpaceDN w:val="0"/>
        <w:bidi w:val="0"/>
        <w:adjustRightInd/>
        <w:snapToGrid/>
        <w:spacing w:line="440" w:lineRule="exact"/>
        <w:ind w:firstLine="480" w:firstLineChars="200"/>
        <w:textAlignment w:val="auto"/>
        <w:rPr>
          <w:rFonts w:hint="default" w:ascii="Times New Roman" w:hAnsi="Times New Roman" w:eastAsia="宋体" w:cs="宋体"/>
          <w:color w:val="auto"/>
          <w:kern w:val="2"/>
          <w:sz w:val="24"/>
          <w:szCs w:val="24"/>
          <w:highlight w:val="none"/>
          <w:lang w:val="en-US" w:eastAsia="zh-CN" w:bidi="ar-SA"/>
        </w:rPr>
      </w:pPr>
      <w:r>
        <w:rPr>
          <w:rFonts w:hint="eastAsia" w:ascii="Times New Roman" w:hAnsi="Times New Roman" w:eastAsia="宋体" w:cs="宋体"/>
          <w:color w:val="auto"/>
          <w:kern w:val="2"/>
          <w:sz w:val="24"/>
          <w:szCs w:val="24"/>
          <w:highlight w:val="none"/>
          <w:lang w:val="en-US" w:eastAsia="zh-CN" w:bidi="ar-SA"/>
        </w:rPr>
        <w:t>3.不可抗力事件疑续X天以上，双方应过友好协商，确定是否继续履行合同。</w:t>
      </w:r>
    </w:p>
    <w:p>
      <w:pPr>
        <w:keepNext w:val="0"/>
        <w:keepLines w:val="0"/>
        <w:pageBreakBefore w:val="0"/>
        <w:widowControl w:val="0"/>
        <w:tabs>
          <w:tab w:val="left" w:pos="420"/>
        </w:tabs>
        <w:kinsoku/>
        <w:wordWrap/>
        <w:overflowPunct/>
        <w:topLinePunct w:val="0"/>
        <w:autoSpaceDE/>
        <w:bidi w:val="0"/>
        <w:adjustRightInd/>
        <w:snapToGrid/>
        <w:spacing w:line="440" w:lineRule="exact"/>
        <w:ind w:firstLine="482" w:firstLineChars="200"/>
        <w:textAlignment w:val="auto"/>
        <w:rPr>
          <w:rFonts w:hint="eastAsia" w:ascii="Times New Roman" w:hAnsi="Times New Roman" w:eastAsia="黑体" w:cs="Times New Roman"/>
          <w:b/>
          <w:bCs/>
          <w:color w:val="auto"/>
          <w:kern w:val="2"/>
          <w:sz w:val="24"/>
          <w:szCs w:val="24"/>
          <w:highlight w:val="none"/>
          <w:lang w:val="en-US" w:eastAsia="zh-CN" w:bidi="ar-SA"/>
        </w:rPr>
      </w:pPr>
      <w:r>
        <w:rPr>
          <w:rFonts w:hint="eastAsia" w:ascii="Times New Roman" w:hAnsi="Times New Roman" w:eastAsia="黑体" w:cs="Times New Roman"/>
          <w:b/>
          <w:bCs/>
          <w:color w:val="auto"/>
          <w:kern w:val="2"/>
          <w:sz w:val="24"/>
          <w:szCs w:val="24"/>
          <w:highlight w:val="none"/>
          <w:lang w:val="en-US" w:eastAsia="zh-CN" w:bidi="ar-SA"/>
        </w:rPr>
        <w:t>十一、解决合同纠的方式</w:t>
      </w:r>
    </w:p>
    <w:p>
      <w:pPr>
        <w:keepNext w:val="0"/>
        <w:keepLines w:val="0"/>
        <w:pageBreakBefore w:val="0"/>
        <w:widowControl w:val="0"/>
        <w:kinsoku/>
        <w:wordWrap/>
        <w:overflowPunct/>
        <w:topLinePunct w:val="0"/>
        <w:autoSpaceDE/>
        <w:autoSpaceDN w:val="0"/>
        <w:bidi w:val="0"/>
        <w:adjustRightInd/>
        <w:snapToGrid/>
        <w:spacing w:line="440" w:lineRule="exact"/>
        <w:ind w:firstLine="480" w:firstLineChars="200"/>
        <w:textAlignment w:val="auto"/>
        <w:rPr>
          <w:rFonts w:hint="eastAsia" w:ascii="Times New Roman" w:hAnsi="Times New Roman" w:eastAsia="宋体" w:cs="宋体"/>
          <w:color w:val="auto"/>
          <w:kern w:val="2"/>
          <w:sz w:val="24"/>
          <w:szCs w:val="24"/>
          <w:highlight w:val="none"/>
          <w:lang w:val="en-US" w:eastAsia="zh-CN" w:bidi="ar-SA"/>
        </w:rPr>
      </w:pPr>
      <w:r>
        <w:rPr>
          <w:rFonts w:hint="eastAsia" w:ascii="Times New Roman" w:hAnsi="Times New Roman" w:eastAsia="宋体" w:cs="宋体"/>
          <w:color w:val="auto"/>
          <w:kern w:val="2"/>
          <w:sz w:val="24"/>
          <w:szCs w:val="24"/>
          <w:highlight w:val="none"/>
          <w:lang w:val="en-US" w:eastAsia="zh-CN" w:bidi="ar-SA"/>
        </w:rPr>
        <w:t>凡因执行本合同所发生的或与本合同有关的一切争议，各方应通过友好协商解决，协商不成的，任何一方可将争议提交项目所在地的人民法院裁判。</w:t>
      </w:r>
    </w:p>
    <w:p>
      <w:pPr>
        <w:keepNext w:val="0"/>
        <w:keepLines w:val="0"/>
        <w:pageBreakBefore w:val="0"/>
        <w:widowControl w:val="0"/>
        <w:tabs>
          <w:tab w:val="left" w:pos="420"/>
        </w:tabs>
        <w:kinsoku/>
        <w:wordWrap/>
        <w:overflowPunct/>
        <w:topLinePunct w:val="0"/>
        <w:autoSpaceDE/>
        <w:bidi w:val="0"/>
        <w:adjustRightInd/>
        <w:snapToGrid/>
        <w:spacing w:line="440" w:lineRule="exact"/>
        <w:ind w:firstLine="482" w:firstLineChars="200"/>
        <w:textAlignment w:val="auto"/>
        <w:rPr>
          <w:rFonts w:hint="default" w:ascii="Times New Roman" w:hAnsi="Times New Roman" w:eastAsia="黑体" w:cs="Times New Roman"/>
          <w:b/>
          <w:bCs/>
          <w:color w:val="auto"/>
          <w:kern w:val="2"/>
          <w:sz w:val="24"/>
          <w:szCs w:val="24"/>
          <w:highlight w:val="none"/>
          <w:lang w:val="en-US" w:eastAsia="zh-CN" w:bidi="ar-SA"/>
        </w:rPr>
      </w:pPr>
      <w:r>
        <w:rPr>
          <w:rFonts w:hint="eastAsia" w:ascii="Times New Roman" w:hAnsi="Times New Roman" w:eastAsia="黑体" w:cs="Times New Roman"/>
          <w:b/>
          <w:bCs/>
          <w:color w:val="auto"/>
          <w:kern w:val="2"/>
          <w:sz w:val="24"/>
          <w:szCs w:val="24"/>
          <w:highlight w:val="none"/>
          <w:lang w:val="en-US" w:eastAsia="zh-CN" w:bidi="ar-SA"/>
        </w:rPr>
        <w:t>十二</w:t>
      </w:r>
      <w:r>
        <w:rPr>
          <w:rFonts w:hint="default" w:ascii="Times New Roman" w:hAnsi="Times New Roman" w:eastAsia="黑体" w:cs="Times New Roman"/>
          <w:b/>
          <w:bCs/>
          <w:color w:val="auto"/>
          <w:kern w:val="2"/>
          <w:sz w:val="24"/>
          <w:szCs w:val="24"/>
          <w:highlight w:val="none"/>
          <w:lang w:val="en-US" w:eastAsia="zh-CN" w:bidi="ar-SA"/>
        </w:rPr>
        <w:t>、其他</w:t>
      </w:r>
    </w:p>
    <w:p>
      <w:pPr>
        <w:keepNext w:val="0"/>
        <w:keepLines w:val="0"/>
        <w:pageBreakBefore w:val="0"/>
        <w:widowControl w:val="0"/>
        <w:kinsoku/>
        <w:wordWrap/>
        <w:overflowPunct/>
        <w:topLinePunct w:val="0"/>
        <w:autoSpaceDE/>
        <w:autoSpaceDN w:val="0"/>
        <w:bidi w:val="0"/>
        <w:adjustRightInd/>
        <w:snapToGrid/>
        <w:spacing w:line="440" w:lineRule="exact"/>
        <w:ind w:firstLine="480" w:firstLineChars="200"/>
        <w:textAlignment w:val="auto"/>
        <w:rPr>
          <w:rFonts w:hint="default" w:ascii="Times New Roman" w:hAnsi="Times New Roman" w:eastAsia="宋体" w:cs="宋体"/>
          <w:color w:val="auto"/>
          <w:kern w:val="2"/>
          <w:sz w:val="24"/>
          <w:szCs w:val="24"/>
          <w:highlight w:val="none"/>
          <w:lang w:val="en-US" w:eastAsia="zh-CN" w:bidi="ar-SA"/>
        </w:rPr>
      </w:pPr>
      <w:r>
        <w:rPr>
          <w:rFonts w:hint="default" w:ascii="Times New Roman" w:hAnsi="Times New Roman" w:eastAsia="宋体" w:cs="宋体"/>
          <w:color w:val="auto"/>
          <w:kern w:val="2"/>
          <w:sz w:val="24"/>
          <w:szCs w:val="24"/>
          <w:highlight w:val="none"/>
          <w:lang w:val="en-US" w:eastAsia="zh-CN" w:bidi="ar-SA"/>
        </w:rPr>
        <w:t>1、如有未尽事宜，由双方依法订立补充合同。</w:t>
      </w:r>
    </w:p>
    <w:p>
      <w:pPr>
        <w:keepNext w:val="0"/>
        <w:keepLines w:val="0"/>
        <w:pageBreakBefore w:val="0"/>
        <w:widowControl w:val="0"/>
        <w:kinsoku/>
        <w:wordWrap/>
        <w:overflowPunct/>
        <w:topLinePunct w:val="0"/>
        <w:autoSpaceDE/>
        <w:autoSpaceDN w:val="0"/>
        <w:bidi w:val="0"/>
        <w:adjustRightInd/>
        <w:snapToGrid/>
        <w:spacing w:line="440" w:lineRule="exact"/>
        <w:ind w:firstLine="480" w:firstLineChars="200"/>
        <w:textAlignment w:val="auto"/>
        <w:rPr>
          <w:rFonts w:hint="default" w:ascii="Times New Roman" w:hAnsi="Times New Roman" w:eastAsia="宋体" w:cs="宋体"/>
          <w:color w:val="auto"/>
          <w:kern w:val="2"/>
          <w:sz w:val="24"/>
          <w:szCs w:val="24"/>
          <w:highlight w:val="none"/>
          <w:lang w:val="en-US" w:eastAsia="zh-CN" w:bidi="ar-SA"/>
        </w:rPr>
      </w:pPr>
      <w:r>
        <w:rPr>
          <w:rFonts w:hint="default" w:ascii="Times New Roman" w:hAnsi="Times New Roman" w:eastAsia="宋体" w:cs="宋体"/>
          <w:color w:val="auto"/>
          <w:kern w:val="2"/>
          <w:sz w:val="24"/>
          <w:szCs w:val="24"/>
          <w:highlight w:val="none"/>
          <w:lang w:val="en-US" w:eastAsia="zh-CN" w:bidi="ar-SA"/>
        </w:rPr>
        <w:t>2、本合同壹式陆份，自双方签章之日起生效。甲方叁份，乙方、采购代理机构各壹份，具有同等法律效力。</w:t>
      </w:r>
    </w:p>
    <w:p>
      <w:pPr>
        <w:keepNext w:val="0"/>
        <w:keepLines w:val="0"/>
        <w:pageBreakBefore w:val="0"/>
        <w:widowControl w:val="0"/>
        <w:tabs>
          <w:tab w:val="left" w:pos="420"/>
        </w:tabs>
        <w:kinsoku/>
        <w:wordWrap/>
        <w:overflowPunct/>
        <w:topLinePunct w:val="0"/>
        <w:autoSpaceDE/>
        <w:bidi w:val="0"/>
        <w:adjustRightInd/>
        <w:snapToGrid/>
        <w:spacing w:line="440" w:lineRule="exact"/>
        <w:ind w:firstLine="482" w:firstLineChars="200"/>
        <w:textAlignment w:val="auto"/>
        <w:rPr>
          <w:rFonts w:hint="default" w:ascii="Times New Roman" w:hAnsi="Times New Roman" w:eastAsia="黑体" w:cs="Times New Roman"/>
          <w:b/>
          <w:bCs/>
          <w:color w:val="auto"/>
          <w:kern w:val="2"/>
          <w:sz w:val="24"/>
          <w:szCs w:val="24"/>
          <w:highlight w:val="none"/>
          <w:lang w:val="en-US" w:eastAsia="zh-CN" w:bidi="ar-SA"/>
        </w:rPr>
      </w:pPr>
      <w:r>
        <w:rPr>
          <w:rFonts w:hint="default" w:ascii="Times New Roman" w:hAnsi="Times New Roman" w:eastAsia="黑体" w:cs="Times New Roman"/>
          <w:b/>
          <w:bCs/>
          <w:color w:val="auto"/>
          <w:kern w:val="2"/>
          <w:sz w:val="24"/>
          <w:szCs w:val="24"/>
          <w:highlight w:val="none"/>
          <w:lang w:val="en-US" w:eastAsia="zh-CN" w:bidi="ar-SA"/>
        </w:rPr>
        <w:t>十</w:t>
      </w:r>
      <w:r>
        <w:rPr>
          <w:rFonts w:hint="eastAsia" w:ascii="Times New Roman" w:hAnsi="Times New Roman" w:eastAsia="黑体" w:cs="Times New Roman"/>
          <w:b/>
          <w:bCs/>
          <w:color w:val="auto"/>
          <w:kern w:val="2"/>
          <w:sz w:val="24"/>
          <w:szCs w:val="24"/>
          <w:highlight w:val="none"/>
          <w:lang w:val="en-US" w:eastAsia="zh-CN" w:bidi="ar-SA"/>
        </w:rPr>
        <w:t>三、</w:t>
      </w:r>
      <w:r>
        <w:rPr>
          <w:rFonts w:hint="default" w:ascii="Times New Roman" w:hAnsi="Times New Roman" w:eastAsia="黑体" w:cs="Times New Roman"/>
          <w:b/>
          <w:bCs/>
          <w:color w:val="auto"/>
          <w:kern w:val="2"/>
          <w:sz w:val="24"/>
          <w:szCs w:val="24"/>
          <w:highlight w:val="none"/>
          <w:lang w:val="en-US" w:eastAsia="zh-CN" w:bidi="ar-SA"/>
        </w:rPr>
        <w:t>附件</w:t>
      </w:r>
    </w:p>
    <w:p>
      <w:pPr>
        <w:keepNext w:val="0"/>
        <w:keepLines w:val="0"/>
        <w:pageBreakBefore w:val="0"/>
        <w:widowControl w:val="0"/>
        <w:kinsoku/>
        <w:wordWrap/>
        <w:overflowPunct/>
        <w:topLinePunct w:val="0"/>
        <w:autoSpaceDE/>
        <w:autoSpaceDN w:val="0"/>
        <w:bidi w:val="0"/>
        <w:adjustRightInd/>
        <w:snapToGrid/>
        <w:spacing w:line="440" w:lineRule="exact"/>
        <w:ind w:firstLine="480" w:firstLineChars="200"/>
        <w:textAlignment w:val="auto"/>
        <w:rPr>
          <w:rFonts w:hint="default" w:ascii="Times New Roman" w:hAnsi="Times New Roman" w:eastAsia="宋体" w:cs="宋体"/>
          <w:color w:val="auto"/>
          <w:kern w:val="2"/>
          <w:sz w:val="24"/>
          <w:szCs w:val="24"/>
          <w:highlight w:val="none"/>
          <w:lang w:val="en-US" w:eastAsia="zh-CN" w:bidi="ar-SA"/>
        </w:rPr>
      </w:pPr>
      <w:r>
        <w:rPr>
          <w:rFonts w:hint="default" w:ascii="Times New Roman" w:hAnsi="Times New Roman" w:eastAsia="宋体" w:cs="宋体"/>
          <w:color w:val="auto"/>
          <w:kern w:val="2"/>
          <w:sz w:val="24"/>
          <w:szCs w:val="24"/>
          <w:highlight w:val="none"/>
          <w:lang w:val="en-US" w:eastAsia="zh-CN" w:bidi="ar-SA"/>
        </w:rPr>
        <w:t>1</w:t>
      </w:r>
      <w:r>
        <w:rPr>
          <w:rFonts w:hint="eastAsia" w:ascii="Times New Roman" w:hAnsi="Times New Roman" w:eastAsia="宋体" w:cs="宋体"/>
          <w:color w:val="auto"/>
          <w:kern w:val="2"/>
          <w:sz w:val="24"/>
          <w:szCs w:val="24"/>
          <w:highlight w:val="none"/>
          <w:lang w:val="en-US" w:eastAsia="zh-CN" w:bidi="ar-SA"/>
        </w:rPr>
        <w:t>.</w:t>
      </w:r>
      <w:r>
        <w:rPr>
          <w:rFonts w:hint="default" w:ascii="Times New Roman" w:hAnsi="Times New Roman" w:eastAsia="宋体" w:cs="宋体"/>
          <w:color w:val="auto"/>
          <w:kern w:val="2"/>
          <w:sz w:val="24"/>
          <w:szCs w:val="24"/>
          <w:highlight w:val="none"/>
          <w:lang w:val="en-US" w:eastAsia="zh-CN" w:bidi="ar-SA"/>
        </w:rPr>
        <w:t>项目</w:t>
      </w:r>
      <w:r>
        <w:rPr>
          <w:rFonts w:hint="eastAsia" w:ascii="Times New Roman" w:hAnsi="Times New Roman" w:eastAsia="宋体" w:cs="宋体"/>
          <w:color w:val="auto"/>
          <w:kern w:val="2"/>
          <w:sz w:val="24"/>
          <w:szCs w:val="24"/>
          <w:highlight w:val="none"/>
          <w:lang w:val="en-US" w:eastAsia="zh-CN" w:bidi="ar-SA"/>
        </w:rPr>
        <w:t>采购</w:t>
      </w:r>
      <w:r>
        <w:rPr>
          <w:rFonts w:hint="default" w:ascii="Times New Roman" w:hAnsi="Times New Roman" w:eastAsia="宋体" w:cs="宋体"/>
          <w:color w:val="auto"/>
          <w:kern w:val="2"/>
          <w:sz w:val="24"/>
          <w:szCs w:val="24"/>
          <w:highlight w:val="none"/>
          <w:lang w:val="en-US" w:eastAsia="zh-CN" w:bidi="ar-SA"/>
        </w:rPr>
        <w:t>文件</w:t>
      </w:r>
    </w:p>
    <w:p>
      <w:pPr>
        <w:keepNext w:val="0"/>
        <w:keepLines w:val="0"/>
        <w:pageBreakBefore w:val="0"/>
        <w:widowControl w:val="0"/>
        <w:kinsoku/>
        <w:wordWrap/>
        <w:overflowPunct/>
        <w:topLinePunct w:val="0"/>
        <w:autoSpaceDE/>
        <w:autoSpaceDN w:val="0"/>
        <w:bidi w:val="0"/>
        <w:adjustRightInd/>
        <w:snapToGrid/>
        <w:spacing w:line="440" w:lineRule="exact"/>
        <w:ind w:firstLine="480" w:firstLineChars="200"/>
        <w:textAlignment w:val="auto"/>
        <w:rPr>
          <w:rFonts w:hint="default" w:ascii="Times New Roman" w:hAnsi="Times New Roman" w:eastAsia="宋体" w:cs="宋体"/>
          <w:color w:val="auto"/>
          <w:kern w:val="2"/>
          <w:sz w:val="24"/>
          <w:szCs w:val="24"/>
          <w:highlight w:val="none"/>
          <w:lang w:val="en-US" w:eastAsia="zh-CN" w:bidi="ar-SA"/>
        </w:rPr>
      </w:pPr>
      <w:r>
        <w:rPr>
          <w:rFonts w:hint="default" w:ascii="Times New Roman" w:hAnsi="Times New Roman" w:eastAsia="宋体" w:cs="宋体"/>
          <w:color w:val="auto"/>
          <w:kern w:val="2"/>
          <w:sz w:val="24"/>
          <w:szCs w:val="24"/>
          <w:highlight w:val="none"/>
          <w:lang w:val="en-US" w:eastAsia="zh-CN" w:bidi="ar-SA"/>
        </w:rPr>
        <w:t>2</w:t>
      </w:r>
      <w:r>
        <w:rPr>
          <w:rFonts w:hint="eastAsia" w:ascii="Times New Roman" w:hAnsi="Times New Roman" w:eastAsia="宋体" w:cs="宋体"/>
          <w:color w:val="auto"/>
          <w:kern w:val="2"/>
          <w:sz w:val="24"/>
          <w:szCs w:val="24"/>
          <w:highlight w:val="none"/>
          <w:lang w:val="en-US" w:eastAsia="zh-CN" w:bidi="ar-SA"/>
        </w:rPr>
        <w:t>.</w:t>
      </w:r>
      <w:r>
        <w:rPr>
          <w:rFonts w:hint="default" w:ascii="Times New Roman" w:hAnsi="Times New Roman" w:eastAsia="宋体" w:cs="宋体"/>
          <w:color w:val="auto"/>
          <w:kern w:val="2"/>
          <w:sz w:val="24"/>
          <w:szCs w:val="24"/>
          <w:highlight w:val="none"/>
          <w:lang w:val="en-US" w:eastAsia="zh-CN" w:bidi="ar-SA"/>
        </w:rPr>
        <w:t>项目修改澄清文件</w:t>
      </w:r>
    </w:p>
    <w:p>
      <w:pPr>
        <w:keepNext w:val="0"/>
        <w:keepLines w:val="0"/>
        <w:pageBreakBefore w:val="0"/>
        <w:widowControl w:val="0"/>
        <w:kinsoku/>
        <w:wordWrap/>
        <w:overflowPunct/>
        <w:topLinePunct w:val="0"/>
        <w:autoSpaceDE/>
        <w:autoSpaceDN w:val="0"/>
        <w:bidi w:val="0"/>
        <w:adjustRightInd/>
        <w:snapToGrid/>
        <w:spacing w:line="440" w:lineRule="exact"/>
        <w:ind w:firstLine="480" w:firstLineChars="200"/>
        <w:textAlignment w:val="auto"/>
        <w:rPr>
          <w:rFonts w:hint="default" w:ascii="Times New Roman" w:hAnsi="Times New Roman" w:eastAsia="宋体" w:cs="宋体"/>
          <w:color w:val="auto"/>
          <w:kern w:val="2"/>
          <w:sz w:val="24"/>
          <w:szCs w:val="24"/>
          <w:highlight w:val="none"/>
          <w:lang w:val="en-US" w:eastAsia="zh-CN" w:bidi="ar-SA"/>
        </w:rPr>
      </w:pPr>
      <w:r>
        <w:rPr>
          <w:rFonts w:hint="default" w:ascii="Times New Roman" w:hAnsi="Times New Roman" w:eastAsia="宋体" w:cs="宋体"/>
          <w:color w:val="auto"/>
          <w:kern w:val="2"/>
          <w:sz w:val="24"/>
          <w:szCs w:val="24"/>
          <w:highlight w:val="none"/>
          <w:lang w:val="en-US" w:eastAsia="zh-CN" w:bidi="ar-SA"/>
        </w:rPr>
        <w:t>3</w:t>
      </w:r>
      <w:r>
        <w:rPr>
          <w:rFonts w:hint="eastAsia" w:ascii="Times New Roman" w:hAnsi="Times New Roman" w:eastAsia="宋体" w:cs="宋体"/>
          <w:color w:val="auto"/>
          <w:kern w:val="2"/>
          <w:sz w:val="24"/>
          <w:szCs w:val="24"/>
          <w:highlight w:val="none"/>
          <w:lang w:val="en-US" w:eastAsia="zh-CN" w:bidi="ar-SA"/>
        </w:rPr>
        <w:t>.</w:t>
      </w:r>
      <w:r>
        <w:rPr>
          <w:rFonts w:hint="default" w:ascii="Times New Roman" w:hAnsi="Times New Roman" w:eastAsia="宋体" w:cs="宋体"/>
          <w:color w:val="auto"/>
          <w:kern w:val="2"/>
          <w:sz w:val="24"/>
          <w:szCs w:val="24"/>
          <w:highlight w:val="none"/>
          <w:lang w:val="en-US" w:eastAsia="zh-CN" w:bidi="ar-SA"/>
        </w:rPr>
        <w:t>项目响应文件</w:t>
      </w:r>
    </w:p>
    <w:p>
      <w:pPr>
        <w:keepNext w:val="0"/>
        <w:keepLines w:val="0"/>
        <w:pageBreakBefore w:val="0"/>
        <w:widowControl w:val="0"/>
        <w:kinsoku/>
        <w:wordWrap/>
        <w:overflowPunct/>
        <w:topLinePunct w:val="0"/>
        <w:autoSpaceDE/>
        <w:autoSpaceDN w:val="0"/>
        <w:bidi w:val="0"/>
        <w:adjustRightInd/>
        <w:snapToGrid/>
        <w:spacing w:line="440" w:lineRule="exact"/>
        <w:ind w:firstLine="480" w:firstLineChars="200"/>
        <w:textAlignment w:val="auto"/>
        <w:rPr>
          <w:rFonts w:hint="default" w:ascii="Times New Roman" w:hAnsi="Times New Roman" w:eastAsia="宋体" w:cs="宋体"/>
          <w:color w:val="auto"/>
          <w:kern w:val="2"/>
          <w:sz w:val="24"/>
          <w:szCs w:val="24"/>
          <w:highlight w:val="none"/>
          <w:lang w:val="en-US" w:eastAsia="zh-CN" w:bidi="ar-SA"/>
        </w:rPr>
      </w:pPr>
      <w:r>
        <w:rPr>
          <w:rFonts w:hint="eastAsia" w:ascii="Times New Roman" w:hAnsi="Times New Roman" w:eastAsia="宋体" w:cs="宋体"/>
          <w:color w:val="auto"/>
          <w:kern w:val="2"/>
          <w:sz w:val="24"/>
          <w:szCs w:val="24"/>
          <w:highlight w:val="none"/>
          <w:lang w:val="en-US" w:eastAsia="zh-CN" w:bidi="ar-SA"/>
        </w:rPr>
        <w:t>4.</w:t>
      </w:r>
      <w:r>
        <w:rPr>
          <w:rFonts w:hint="default" w:ascii="Times New Roman" w:hAnsi="Times New Roman" w:eastAsia="宋体" w:cs="宋体"/>
          <w:color w:val="auto"/>
          <w:kern w:val="2"/>
          <w:sz w:val="24"/>
          <w:szCs w:val="24"/>
          <w:highlight w:val="none"/>
          <w:lang w:val="en-US" w:eastAsia="zh-CN" w:bidi="ar-SA"/>
        </w:rPr>
        <w:t>成交通知书</w:t>
      </w:r>
    </w:p>
    <w:bookmarkEnd w:id="4"/>
    <w:p>
      <w:pPr>
        <w:spacing w:line="400" w:lineRule="exact"/>
        <w:rPr>
          <w:rFonts w:hint="eastAsia"/>
          <w:color w:val="auto"/>
          <w:sz w:val="24"/>
          <w:highlight w:val="none"/>
        </w:rPr>
      </w:pPr>
    </w:p>
    <w:p>
      <w:pPr>
        <w:pStyle w:val="2"/>
        <w:rPr>
          <w:rFonts w:hint="eastAsia"/>
          <w:color w:val="auto"/>
          <w:sz w:val="24"/>
          <w:highlight w:val="none"/>
        </w:rPr>
      </w:pPr>
    </w:p>
    <w:p>
      <w:pPr>
        <w:rPr>
          <w:rFonts w:hint="eastAsia"/>
          <w:color w:val="auto"/>
          <w:highlight w:val="none"/>
        </w:rPr>
      </w:pPr>
    </w:p>
    <w:p>
      <w:pPr>
        <w:spacing w:line="400" w:lineRule="exact"/>
        <w:ind w:firstLine="480" w:firstLineChars="200"/>
        <w:rPr>
          <w:rFonts w:hint="eastAsia"/>
          <w:color w:val="auto"/>
          <w:sz w:val="24"/>
          <w:highlight w:val="none"/>
        </w:rPr>
      </w:pPr>
      <w:r>
        <w:rPr>
          <w:rFonts w:hint="eastAsia"/>
          <w:color w:val="auto"/>
          <w:sz w:val="24"/>
          <w:highlight w:val="none"/>
        </w:rPr>
        <w:t xml:space="preserve">甲方：   （盖章）   </w:t>
      </w:r>
      <w:r>
        <w:rPr>
          <w:rFonts w:hint="eastAsia"/>
          <w:color w:val="auto"/>
          <w:sz w:val="24"/>
          <w:highlight w:val="none"/>
        </w:rPr>
        <w:tab/>
      </w:r>
      <w:r>
        <w:rPr>
          <w:rFonts w:hint="eastAsia"/>
          <w:color w:val="auto"/>
          <w:sz w:val="24"/>
          <w:highlight w:val="none"/>
        </w:rPr>
        <w:tab/>
      </w:r>
      <w:r>
        <w:rPr>
          <w:rFonts w:hint="eastAsia"/>
          <w:color w:val="auto"/>
          <w:sz w:val="24"/>
          <w:highlight w:val="none"/>
        </w:rPr>
        <w:tab/>
      </w:r>
      <w:r>
        <w:rPr>
          <w:rFonts w:hint="eastAsia"/>
          <w:color w:val="auto"/>
          <w:sz w:val="24"/>
          <w:highlight w:val="none"/>
        </w:rPr>
        <w:t xml:space="preserve">       乙方：   （盖章）</w:t>
      </w:r>
    </w:p>
    <w:p>
      <w:pPr>
        <w:spacing w:line="400" w:lineRule="exact"/>
        <w:ind w:firstLine="480" w:firstLineChars="200"/>
        <w:rPr>
          <w:rFonts w:hint="eastAsia"/>
          <w:color w:val="auto"/>
          <w:sz w:val="24"/>
          <w:highlight w:val="none"/>
        </w:rPr>
      </w:pPr>
      <w:r>
        <w:rPr>
          <w:rFonts w:hint="eastAsia"/>
          <w:color w:val="auto"/>
          <w:sz w:val="24"/>
          <w:highlight w:val="none"/>
        </w:rPr>
        <w:t>法定代表人（授权代表）：            法定代表人（授权代表）：</w:t>
      </w:r>
    </w:p>
    <w:p>
      <w:pPr>
        <w:spacing w:line="400" w:lineRule="exact"/>
        <w:ind w:firstLine="480" w:firstLineChars="200"/>
        <w:rPr>
          <w:rFonts w:hint="eastAsia"/>
          <w:color w:val="auto"/>
          <w:sz w:val="24"/>
          <w:highlight w:val="none"/>
        </w:rPr>
      </w:pPr>
      <w:r>
        <w:rPr>
          <w:rFonts w:hint="eastAsia"/>
          <w:color w:val="auto"/>
          <w:sz w:val="24"/>
          <w:highlight w:val="none"/>
        </w:rPr>
        <w:t>地    址：                         地    址：</w:t>
      </w:r>
    </w:p>
    <w:p>
      <w:pPr>
        <w:spacing w:line="400" w:lineRule="exact"/>
        <w:ind w:firstLine="480" w:firstLineChars="200"/>
        <w:rPr>
          <w:rFonts w:hint="eastAsia"/>
          <w:color w:val="auto"/>
          <w:sz w:val="24"/>
          <w:highlight w:val="none"/>
        </w:rPr>
      </w:pPr>
      <w:r>
        <w:rPr>
          <w:rFonts w:hint="eastAsia"/>
          <w:color w:val="auto"/>
          <w:sz w:val="24"/>
          <w:highlight w:val="none"/>
        </w:rPr>
        <w:t>开户银行：                         开户银行：</w:t>
      </w:r>
    </w:p>
    <w:p>
      <w:pPr>
        <w:spacing w:line="400" w:lineRule="exact"/>
        <w:ind w:firstLine="480" w:firstLineChars="200"/>
        <w:rPr>
          <w:rFonts w:hint="eastAsia"/>
          <w:color w:val="auto"/>
          <w:sz w:val="24"/>
          <w:highlight w:val="none"/>
        </w:rPr>
      </w:pPr>
      <w:r>
        <w:rPr>
          <w:rFonts w:hint="eastAsia"/>
          <w:color w:val="auto"/>
          <w:sz w:val="24"/>
          <w:highlight w:val="none"/>
        </w:rPr>
        <w:t>账号：                             账号：</w:t>
      </w:r>
    </w:p>
    <w:p>
      <w:pPr>
        <w:spacing w:line="400" w:lineRule="exact"/>
        <w:ind w:firstLine="480" w:firstLineChars="200"/>
        <w:rPr>
          <w:rFonts w:hint="eastAsia"/>
          <w:color w:val="auto"/>
          <w:sz w:val="24"/>
          <w:highlight w:val="none"/>
        </w:rPr>
      </w:pPr>
      <w:r>
        <w:rPr>
          <w:rFonts w:hint="eastAsia"/>
          <w:color w:val="auto"/>
          <w:sz w:val="24"/>
          <w:highlight w:val="none"/>
        </w:rPr>
        <w:t>电    话：                         电    话：</w:t>
      </w:r>
    </w:p>
    <w:p>
      <w:pPr>
        <w:spacing w:line="400" w:lineRule="exact"/>
        <w:ind w:firstLine="480" w:firstLineChars="200"/>
        <w:rPr>
          <w:rFonts w:hint="eastAsia"/>
          <w:color w:val="auto"/>
          <w:sz w:val="24"/>
          <w:highlight w:val="none"/>
        </w:rPr>
      </w:pPr>
      <w:r>
        <w:rPr>
          <w:rFonts w:hint="eastAsia"/>
          <w:color w:val="auto"/>
          <w:sz w:val="24"/>
          <w:highlight w:val="none"/>
        </w:rPr>
        <w:t>传    真：                         传    真：</w:t>
      </w:r>
    </w:p>
    <w:p>
      <w:pPr>
        <w:spacing w:line="400" w:lineRule="exact"/>
        <w:ind w:firstLine="480" w:firstLineChars="200"/>
        <w:rPr>
          <w:color w:val="auto"/>
          <w:sz w:val="24"/>
          <w:highlight w:val="none"/>
        </w:rPr>
      </w:pPr>
      <w:r>
        <w:rPr>
          <w:rFonts w:hint="eastAsia"/>
          <w:color w:val="auto"/>
          <w:sz w:val="24"/>
          <w:highlight w:val="none"/>
        </w:rPr>
        <w:t xml:space="preserve">签约日期：XX年XX月XX日 </w:t>
      </w:r>
      <w:r>
        <w:rPr>
          <w:rFonts w:hint="eastAsia"/>
          <w:color w:val="auto"/>
          <w:sz w:val="24"/>
          <w:highlight w:val="none"/>
        </w:rPr>
        <w:tab/>
      </w:r>
      <w:r>
        <w:rPr>
          <w:rFonts w:hint="eastAsia"/>
          <w:color w:val="auto"/>
          <w:sz w:val="24"/>
          <w:highlight w:val="none"/>
        </w:rPr>
        <w:tab/>
      </w:r>
      <w:r>
        <w:rPr>
          <w:rFonts w:hint="eastAsia"/>
          <w:color w:val="auto"/>
          <w:sz w:val="24"/>
          <w:highlight w:val="none"/>
        </w:rPr>
        <w:tab/>
      </w:r>
      <w:r>
        <w:rPr>
          <w:rFonts w:hint="eastAsia"/>
          <w:color w:val="auto"/>
          <w:sz w:val="24"/>
          <w:highlight w:val="none"/>
        </w:rPr>
        <w:t>签约日期：XX年XX月XX日</w:t>
      </w:r>
    </w:p>
    <w:p>
      <w:pPr>
        <w:pStyle w:val="9"/>
        <w:ind w:firstLine="480"/>
        <w:rPr>
          <w:color w:val="auto"/>
          <w:szCs w:val="22"/>
          <w:highlight w:val="none"/>
        </w:rPr>
      </w:pPr>
    </w:p>
    <w:p>
      <w:pPr>
        <w:pStyle w:val="2"/>
        <w:ind w:firstLine="482"/>
        <w:rPr>
          <w:b/>
          <w:bCs/>
          <w:color w:val="auto"/>
          <w:sz w:val="24"/>
          <w:highlight w:val="none"/>
        </w:rPr>
      </w:pPr>
    </w:p>
    <w:p>
      <w:pPr>
        <w:pStyle w:val="2"/>
        <w:rPr>
          <w:color w:val="auto"/>
          <w:highlight w:val="none"/>
        </w:rPr>
      </w:pPr>
    </w:p>
    <w:p>
      <w:bookmarkStart w:id="5" w:name="_GoBack"/>
      <w:bookmarkEnd w:id="5"/>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D68F8"/>
    <w:rsid w:val="44ED68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99"/>
    <w:pPr>
      <w:keepNext/>
      <w:keepLines/>
      <w:spacing w:before="340" w:after="330" w:line="700" w:lineRule="exact"/>
      <w:jc w:val="center"/>
      <w:outlineLvl w:val="0"/>
    </w:pPr>
    <w:rPr>
      <w:rFonts w:ascii="Times New Roman"/>
      <w:b/>
      <w:bCs/>
      <w:kern w:val="44"/>
      <w:sz w:val="36"/>
      <w:szCs w:val="44"/>
    </w:rPr>
  </w:style>
  <w:style w:type="paragraph" w:styleId="5">
    <w:name w:val="heading 2"/>
    <w:basedOn w:val="1"/>
    <w:next w:val="6"/>
    <w:qFormat/>
    <w:uiPriority w:val="0"/>
    <w:pPr>
      <w:keepNext/>
      <w:keepLines/>
      <w:spacing w:before="260" w:after="260" w:line="416" w:lineRule="auto"/>
      <w:outlineLvl w:val="1"/>
    </w:pPr>
    <w:rPr>
      <w:rFonts w:ascii="Arial" w:hAnsi="Arial" w:eastAsia="黑体"/>
      <w:b/>
      <w:bCs/>
      <w:kern w:val="2"/>
      <w:sz w:val="32"/>
      <w:szCs w:val="32"/>
    </w:rPr>
  </w:style>
  <w:style w:type="character" w:default="1" w:styleId="8">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2">
    <w:name w:val="Body Text"/>
    <w:basedOn w:val="1"/>
    <w:next w:val="3"/>
    <w:unhideWhenUsed/>
    <w:qFormat/>
    <w:uiPriority w:val="99"/>
    <w:pPr>
      <w:spacing w:after="120"/>
    </w:pPr>
  </w:style>
  <w:style w:type="paragraph" w:styleId="3">
    <w:name w:val="Plain Text"/>
    <w:basedOn w:val="1"/>
    <w:uiPriority w:val="0"/>
    <w:rPr>
      <w:rFonts w:ascii="宋体" w:hAnsi="Courier New" w:cs="Courier New"/>
      <w:szCs w:val="21"/>
    </w:rPr>
  </w:style>
  <w:style w:type="paragraph" w:styleId="6">
    <w:name w:val="Normal Indent"/>
    <w:basedOn w:val="1"/>
    <w:qFormat/>
    <w:uiPriority w:val="0"/>
    <w:pPr>
      <w:ind w:firstLine="420" w:firstLineChars="200"/>
    </w:pPr>
    <w:rPr>
      <w:rFonts w:ascii="Times New Roman" w:hAnsi="Times New Roman"/>
      <w:kern w:val="2"/>
      <w:sz w:val="21"/>
      <w:szCs w:val="24"/>
    </w:rPr>
  </w:style>
  <w:style w:type="paragraph" w:customStyle="1" w:styleId="9">
    <w:name w:val="样式 首行缩进:  2 字符"/>
    <w:basedOn w:val="1"/>
    <w:qFormat/>
    <w:uiPriority w:val="0"/>
    <w:pPr>
      <w:spacing w:line="400" w:lineRule="exact"/>
      <w:ind w:firstLine="200" w:firstLineChars="200"/>
    </w:pPr>
    <w:rPr>
      <w:rFonts w:cs="宋体"/>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2023-05-19T03:36:00Z</dcterms:created>
  <dc:creator>糯米团子</dc:creator>
  <cp:lastModifiedBy>糯米团子</cp:lastModifiedBy>
  <dcterms:modified xsi:type="dcterms:W3CDTF">2023-05-19T03:36:41Z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