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8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合同编号：</w:t>
      </w:r>
    </w:p>
    <w:p>
      <w:pPr>
        <w:keepNext w:val="0"/>
        <w:keepLines w:val="0"/>
        <w:pageBreakBefore w:val="0"/>
        <w:widowControl w:val="0"/>
        <w:kinsoku/>
        <w:overflowPunct/>
        <w:topLinePunct w:val="0"/>
        <w:autoSpaceDE/>
        <w:autoSpaceDN/>
        <w:bidi w:val="0"/>
        <w:spacing w:line="580" w:lineRule="exact"/>
        <w:ind w:firstLine="480" w:firstLineChars="200"/>
        <w:textAlignment w:val="auto"/>
        <w:rPr>
          <w:rFonts w:hint="eastAsia" w:ascii="宋体" w:hAnsi="宋体" w:cs="仿宋_GB2312"/>
          <w:kern w:val="0"/>
          <w:sz w:val="24"/>
          <w:szCs w:val="24"/>
        </w:rPr>
      </w:pPr>
    </w:p>
    <w:p>
      <w:pPr>
        <w:pStyle w:val="3"/>
        <w:keepNext w:val="0"/>
        <w:keepLines w:val="0"/>
        <w:pageBreakBefore w:val="0"/>
        <w:widowControl w:val="0"/>
        <w:numPr>
          <w:ilvl w:val="0"/>
          <w:numId w:val="0"/>
        </w:numPr>
        <w:kinsoku/>
        <w:overflowPunct/>
        <w:topLinePunct w:val="0"/>
        <w:autoSpaceDE/>
        <w:autoSpaceDN/>
        <w:bidi w:val="0"/>
        <w:spacing w:before="240" w:after="0" w:line="580" w:lineRule="exact"/>
        <w:jc w:val="center"/>
        <w:textAlignment w:val="auto"/>
        <w:rPr>
          <w:rFonts w:hint="eastAsia" w:ascii="方正小标宋简体" w:hAnsi="方正小标宋简体" w:eastAsia="方正小标宋简体" w:cs="方正小标宋简体"/>
          <w:b w:val="0"/>
          <w:bCs/>
          <w:color w:val="auto"/>
          <w:sz w:val="44"/>
          <w:szCs w:val="44"/>
        </w:rPr>
      </w:pPr>
      <w:bookmarkStart w:id="0" w:name="_Toc18790"/>
      <w:r>
        <w:rPr>
          <w:rFonts w:hint="eastAsia" w:ascii="方正小标宋简体" w:hAnsi="方正小标宋简体" w:eastAsia="方正小标宋简体" w:cs="方正小标宋简体"/>
          <w:b w:val="0"/>
          <w:bCs/>
          <w:color w:val="auto"/>
          <w:sz w:val="44"/>
          <w:szCs w:val="44"/>
        </w:rPr>
        <w:t>采购合同（范本）</w:t>
      </w:r>
      <w:bookmarkEnd w:id="0"/>
    </w:p>
    <w:p>
      <w:pPr>
        <w:keepNext w:val="0"/>
        <w:keepLines w:val="0"/>
        <w:pageBreakBefore w:val="0"/>
        <w:widowControl w:val="0"/>
        <w:kinsoku/>
        <w:overflowPunct/>
        <w:topLinePunct w:val="0"/>
        <w:autoSpaceDE/>
        <w:autoSpaceDN/>
        <w:bidi w:val="0"/>
        <w:spacing w:line="580" w:lineRule="exact"/>
        <w:textAlignment w:val="auto"/>
        <w:rPr>
          <w:rFonts w:hint="eastAsia" w:ascii="方正小标宋简体" w:hAnsi="方正小标宋简体" w:eastAsia="方正小标宋简体" w:cs="方正小标宋简体"/>
          <w:bCs w:val="0"/>
          <w:color w:val="auto"/>
          <w:sz w:val="44"/>
          <w:szCs w:val="44"/>
        </w:rPr>
      </w:pPr>
    </w:p>
    <w:p>
      <w:pPr>
        <w:pStyle w:val="2"/>
        <w:keepNext w:val="0"/>
        <w:keepLines w:val="0"/>
        <w:pageBreakBefore w:val="0"/>
        <w:widowControl w:val="0"/>
        <w:kinsoku/>
        <w:overflowPunct/>
        <w:topLinePunct w:val="0"/>
        <w:autoSpaceDE/>
        <w:autoSpaceDN/>
        <w:bidi w:val="0"/>
        <w:spacing w:line="580" w:lineRule="exact"/>
        <w:textAlignment w:val="auto"/>
        <w:rPr>
          <w:rFonts w:hint="eastAsia" w:ascii="方正小标宋简体" w:hAnsi="方正小标宋简体" w:eastAsia="方正小标宋简体" w:cs="方正小标宋简体"/>
          <w:bCs w:val="0"/>
          <w:color w:val="auto"/>
          <w:sz w:val="44"/>
          <w:szCs w:val="44"/>
        </w:rPr>
      </w:pPr>
    </w:p>
    <w:p>
      <w:pPr>
        <w:pStyle w:val="2"/>
        <w:keepNext w:val="0"/>
        <w:keepLines w:val="0"/>
        <w:pageBreakBefore w:val="0"/>
        <w:widowControl w:val="0"/>
        <w:kinsoku/>
        <w:overflowPunct/>
        <w:topLinePunct w:val="0"/>
        <w:autoSpaceDE/>
        <w:autoSpaceDN/>
        <w:bidi w:val="0"/>
        <w:spacing w:line="580" w:lineRule="exact"/>
        <w:textAlignment w:val="auto"/>
        <w:rPr>
          <w:rFonts w:hint="eastAsia" w:ascii="方正小标宋简体" w:hAnsi="方正小标宋简体" w:eastAsia="方正小标宋简体" w:cs="方正小标宋简体"/>
          <w:bCs w:val="0"/>
          <w:color w:val="auto"/>
          <w:sz w:val="44"/>
          <w:szCs w:val="44"/>
        </w:rPr>
      </w:pPr>
    </w:p>
    <w:p>
      <w:pPr>
        <w:pStyle w:val="2"/>
        <w:keepNext w:val="0"/>
        <w:keepLines w:val="0"/>
        <w:pageBreakBefore w:val="0"/>
        <w:widowControl w:val="0"/>
        <w:kinsoku/>
        <w:overflowPunct/>
        <w:topLinePunct w:val="0"/>
        <w:autoSpaceDE/>
        <w:autoSpaceDN/>
        <w:bidi w:val="0"/>
        <w:spacing w:line="580" w:lineRule="exact"/>
        <w:textAlignment w:val="auto"/>
        <w:rPr>
          <w:rFonts w:hint="eastAsia" w:ascii="方正小标宋简体" w:hAnsi="方正小标宋简体" w:eastAsia="方正小标宋简体" w:cs="方正小标宋简体"/>
          <w:bCs w:val="0"/>
          <w:color w:val="auto"/>
          <w:sz w:val="44"/>
          <w:szCs w:val="44"/>
        </w:rPr>
      </w:pPr>
    </w:p>
    <w:p>
      <w:pPr>
        <w:pStyle w:val="2"/>
        <w:keepNext w:val="0"/>
        <w:keepLines w:val="0"/>
        <w:pageBreakBefore w:val="0"/>
        <w:widowControl w:val="0"/>
        <w:kinsoku/>
        <w:overflowPunct/>
        <w:topLinePunct w:val="0"/>
        <w:autoSpaceDE/>
        <w:autoSpaceDN/>
        <w:bidi w:val="0"/>
        <w:spacing w:line="580" w:lineRule="exact"/>
        <w:textAlignment w:val="auto"/>
        <w:rPr>
          <w:rFonts w:hint="eastAsia" w:ascii="方正小标宋简体" w:hAnsi="方正小标宋简体" w:eastAsia="方正小标宋简体" w:cs="方正小标宋简体"/>
          <w:bCs w:val="0"/>
          <w:color w:val="auto"/>
          <w:sz w:val="44"/>
          <w:szCs w:val="44"/>
        </w:rPr>
      </w:pPr>
    </w:p>
    <w:p>
      <w:pPr>
        <w:pStyle w:val="2"/>
        <w:keepNext w:val="0"/>
        <w:keepLines w:val="0"/>
        <w:pageBreakBefore w:val="0"/>
        <w:widowControl w:val="0"/>
        <w:kinsoku/>
        <w:overflowPunct/>
        <w:topLinePunct w:val="0"/>
        <w:autoSpaceDE/>
        <w:autoSpaceDN/>
        <w:bidi w:val="0"/>
        <w:spacing w:line="580" w:lineRule="exact"/>
        <w:textAlignment w:val="auto"/>
        <w:rPr>
          <w:rFonts w:hint="eastAsia" w:ascii="方正小标宋简体" w:hAnsi="方正小标宋简体" w:eastAsia="方正小标宋简体" w:cs="方正小标宋简体"/>
          <w:bCs w:val="0"/>
          <w:color w:val="auto"/>
          <w:sz w:val="44"/>
          <w:szCs w:val="44"/>
        </w:rPr>
      </w:pPr>
    </w:p>
    <w:p>
      <w:pPr>
        <w:pStyle w:val="2"/>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bCs w:val="0"/>
          <w:color w:val="auto"/>
          <w:sz w:val="32"/>
          <w:szCs w:val="32"/>
        </w:rPr>
      </w:pPr>
    </w:p>
    <w:p>
      <w:pPr>
        <w:pStyle w:val="2"/>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Cs w:val="0"/>
          <w:color w:val="auto"/>
          <w:sz w:val="32"/>
          <w:szCs w:val="32"/>
          <w:lang w:val="en-US" w:eastAsia="zh-CN"/>
        </w:rPr>
      </w:pPr>
      <w:r>
        <w:rPr>
          <w:rFonts w:hint="eastAsia" w:ascii="方正仿宋_GBK" w:hAnsi="方正仿宋_GBK" w:eastAsia="方正仿宋_GBK" w:cs="方正仿宋_GBK"/>
          <w:bCs w:val="0"/>
          <w:color w:val="auto"/>
          <w:sz w:val="32"/>
          <w:szCs w:val="32"/>
          <w:lang w:val="en-US" w:eastAsia="zh-CN"/>
        </w:rPr>
        <w:t>采购名称：</w:t>
      </w:r>
      <w:r>
        <w:rPr>
          <w:rFonts w:hint="eastAsia" w:ascii="方正仿宋_GBK" w:hAnsi="方正仿宋_GBK" w:eastAsia="方正仿宋_GBK" w:cs="方正仿宋_GBK"/>
          <w:bCs w:val="0"/>
          <w:color w:val="auto"/>
          <w:sz w:val="32"/>
          <w:szCs w:val="32"/>
          <w:u w:val="single"/>
          <w:lang w:val="en-US" w:eastAsia="zh-CN"/>
        </w:rPr>
        <w:t xml:space="preserve">                                  </w:t>
      </w:r>
      <w:r>
        <w:rPr>
          <w:rFonts w:hint="eastAsia" w:ascii="方正仿宋_GBK" w:hAnsi="方正仿宋_GBK" w:eastAsia="方正仿宋_GBK" w:cs="方正仿宋_GBK"/>
          <w:bCs w:val="0"/>
          <w:color w:val="auto"/>
          <w:sz w:val="32"/>
          <w:szCs w:val="32"/>
          <w:lang w:val="en-US" w:eastAsia="zh-CN"/>
        </w:rPr>
        <w:t xml:space="preserve"> </w:t>
      </w:r>
    </w:p>
    <w:p>
      <w:pPr>
        <w:pStyle w:val="2"/>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Cs w:val="0"/>
          <w:color w:val="auto"/>
          <w:sz w:val="32"/>
          <w:szCs w:val="32"/>
          <w:lang w:val="en-US" w:eastAsia="zh-CN"/>
        </w:rPr>
      </w:pPr>
    </w:p>
    <w:p>
      <w:pPr>
        <w:pStyle w:val="2"/>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Cs w:val="0"/>
          <w:color w:val="auto"/>
          <w:sz w:val="32"/>
          <w:szCs w:val="32"/>
          <w:lang w:val="en-US" w:eastAsia="zh-CN"/>
        </w:rPr>
      </w:pPr>
    </w:p>
    <w:p>
      <w:pPr>
        <w:pStyle w:val="2"/>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Cs w:val="0"/>
          <w:color w:val="auto"/>
          <w:sz w:val="32"/>
          <w:szCs w:val="32"/>
          <w:lang w:val="en-US" w:eastAsia="zh-CN"/>
        </w:rPr>
      </w:pPr>
    </w:p>
    <w:p>
      <w:pPr>
        <w:pStyle w:val="2"/>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Cs w:val="0"/>
          <w:color w:val="auto"/>
          <w:sz w:val="32"/>
          <w:szCs w:val="32"/>
          <w:lang w:val="en-US" w:eastAsia="zh-CN"/>
        </w:rPr>
      </w:pPr>
    </w:p>
    <w:p>
      <w:pPr>
        <w:pStyle w:val="2"/>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Cs w:val="0"/>
          <w:color w:val="auto"/>
          <w:sz w:val="32"/>
          <w:szCs w:val="32"/>
          <w:lang w:val="en-US" w:eastAsia="zh-CN"/>
        </w:rPr>
      </w:pPr>
    </w:p>
    <w:p>
      <w:pPr>
        <w:pStyle w:val="2"/>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bCs w:val="0"/>
          <w:color w:val="auto"/>
          <w:sz w:val="32"/>
          <w:szCs w:val="32"/>
          <w:lang w:val="en-US" w:eastAsia="zh-CN"/>
        </w:rPr>
      </w:pPr>
    </w:p>
    <w:p>
      <w:pPr>
        <w:pStyle w:val="2"/>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Cs w:val="0"/>
          <w:color w:val="auto"/>
          <w:sz w:val="32"/>
          <w:szCs w:val="32"/>
          <w:lang w:val="en-US" w:eastAsia="zh-CN"/>
        </w:rPr>
      </w:pPr>
    </w:p>
    <w:p>
      <w:pPr>
        <w:pStyle w:val="2"/>
        <w:keepNext w:val="0"/>
        <w:keepLines w:val="0"/>
        <w:pageBreakBefore w:val="0"/>
        <w:widowControl w:val="0"/>
        <w:kinsoku/>
        <w:overflowPunct/>
        <w:topLinePunct w:val="0"/>
        <w:autoSpaceDE/>
        <w:autoSpaceDN/>
        <w:bidi w:val="0"/>
        <w:spacing w:line="580" w:lineRule="exact"/>
        <w:jc w:val="center"/>
        <w:textAlignment w:val="auto"/>
        <w:rPr>
          <w:rFonts w:hint="default" w:ascii="方正仿宋_GBK" w:hAnsi="方正仿宋_GBK" w:eastAsia="方正仿宋_GBK" w:cs="方正仿宋_GBK"/>
          <w:bCs w:val="0"/>
          <w:color w:val="auto"/>
          <w:sz w:val="32"/>
          <w:szCs w:val="32"/>
          <w:lang w:val="en-US" w:eastAsia="zh-CN"/>
        </w:rPr>
      </w:pPr>
      <w:r>
        <w:rPr>
          <w:rFonts w:hint="eastAsia" w:ascii="方正仿宋_GBK" w:hAnsi="方正仿宋_GBK" w:eastAsia="方正仿宋_GBK" w:cs="方正仿宋_GBK"/>
          <w:bCs w:val="0"/>
          <w:color w:val="auto"/>
          <w:sz w:val="32"/>
          <w:szCs w:val="32"/>
          <w:lang w:val="en-US" w:eastAsia="zh-CN"/>
        </w:rPr>
        <w:t xml:space="preserve"> 年    月   日</w:t>
      </w:r>
    </w:p>
    <w:p>
      <w:pPr>
        <w:keepNext w:val="0"/>
        <w:keepLines w:val="0"/>
        <w:pageBreakBefore w:val="0"/>
        <w:widowControl w:val="0"/>
        <w:kinsoku/>
        <w:wordWrap w:val="0"/>
        <w:overflowPunct/>
        <w:topLinePunct w:val="0"/>
        <w:autoSpaceDE/>
        <w:autoSpaceDN/>
        <w:bidi w:val="0"/>
        <w:adjustRightInd w:val="0"/>
        <w:snapToGrid w:val="0"/>
        <w:spacing w:line="580" w:lineRule="exact"/>
        <w:ind w:firstLine="560" w:firstLineChars="200"/>
        <w:textAlignment w:val="auto"/>
        <w:rPr>
          <w:rFonts w:hint="eastAsia" w:ascii="方正黑体_GBK" w:hAnsi="方正黑体_GBK" w:eastAsia="方正黑体_GBK" w:cs="方正黑体_GBK"/>
          <w:b w:val="0"/>
          <w:bCs w:val="0"/>
          <w:kern w:val="0"/>
          <w:sz w:val="28"/>
          <w:szCs w:val="28"/>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ind w:firstLine="560" w:firstLineChars="200"/>
        <w:textAlignment w:val="auto"/>
        <w:rPr>
          <w:rFonts w:hint="eastAsia" w:ascii="方正黑体_GBK" w:hAnsi="方正黑体_GBK" w:eastAsia="方正黑体_GBK" w:cs="方正黑体_GBK"/>
          <w:b w:val="0"/>
          <w:bCs w:val="0"/>
          <w:kern w:val="0"/>
          <w:sz w:val="28"/>
          <w:szCs w:val="28"/>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ind w:firstLine="560" w:firstLineChars="200"/>
        <w:textAlignment w:val="auto"/>
        <w:rPr>
          <w:rFonts w:hint="eastAsia" w:ascii="方正黑体_GBK" w:hAnsi="方正黑体_GBK" w:eastAsia="方正黑体_GBK" w:cs="方正黑体_GBK"/>
          <w:b w:val="0"/>
          <w:bCs w:val="0"/>
          <w:kern w:val="0"/>
          <w:sz w:val="28"/>
          <w:szCs w:val="28"/>
          <w:lang w:val="en-US" w:eastAsia="zh-CN" w:bidi="ar-SA"/>
        </w:rPr>
      </w:pPr>
      <w:r>
        <w:rPr>
          <w:rFonts w:hint="eastAsia" w:ascii="方正黑体_GBK" w:hAnsi="方正黑体_GBK" w:eastAsia="方正黑体_GBK" w:cs="方正黑体_GBK"/>
          <w:b w:val="0"/>
          <w:bCs w:val="0"/>
          <w:kern w:val="0"/>
          <w:sz w:val="28"/>
          <w:szCs w:val="28"/>
          <w:lang w:val="en-US" w:eastAsia="zh-CN" w:bidi="ar-SA"/>
        </w:rPr>
        <w:t>采购方（以下简称“甲方”）：</w:t>
      </w:r>
    </w:p>
    <w:p>
      <w:pPr>
        <w:keepNext w:val="0"/>
        <w:keepLines w:val="0"/>
        <w:pageBreakBefore w:val="0"/>
        <w:widowControl w:val="0"/>
        <w:kinsoku/>
        <w:wordWrap w:val="0"/>
        <w:overflowPunct/>
        <w:topLinePunct w:val="0"/>
        <w:autoSpaceDE/>
        <w:autoSpaceDN/>
        <w:bidi w:val="0"/>
        <w:adjustRightInd w:val="0"/>
        <w:snapToGrid w:val="0"/>
        <w:spacing w:line="580" w:lineRule="exact"/>
        <w:ind w:firstLine="560" w:firstLineChars="200"/>
        <w:textAlignment w:val="auto"/>
        <w:rPr>
          <w:rFonts w:hint="eastAsia" w:ascii="方正黑体_GBK" w:hAnsi="方正黑体_GBK" w:eastAsia="方正黑体_GBK" w:cs="方正黑体_GBK"/>
          <w:b w:val="0"/>
          <w:bCs w:val="0"/>
          <w:kern w:val="0"/>
          <w:sz w:val="28"/>
          <w:szCs w:val="28"/>
          <w:lang w:val="en-US" w:eastAsia="zh-CN" w:bidi="ar-SA"/>
        </w:rPr>
      </w:pPr>
      <w:r>
        <w:rPr>
          <w:rFonts w:hint="eastAsia" w:ascii="方正黑体_GBK" w:hAnsi="方正黑体_GBK" w:eastAsia="方正黑体_GBK" w:cs="方正黑体_GBK"/>
          <w:b w:val="0"/>
          <w:bCs w:val="0"/>
          <w:kern w:val="0"/>
          <w:sz w:val="28"/>
          <w:szCs w:val="28"/>
          <w:lang w:val="en-US" w:eastAsia="zh-CN" w:bidi="ar-SA"/>
        </w:rPr>
        <w:t xml:space="preserve">住  所： </w:t>
      </w:r>
    </w:p>
    <w:p>
      <w:pPr>
        <w:keepNext w:val="0"/>
        <w:keepLines w:val="0"/>
        <w:pageBreakBefore w:val="0"/>
        <w:widowControl w:val="0"/>
        <w:kinsoku/>
        <w:wordWrap w:val="0"/>
        <w:overflowPunct/>
        <w:topLinePunct w:val="0"/>
        <w:autoSpaceDE/>
        <w:autoSpaceDN/>
        <w:bidi w:val="0"/>
        <w:adjustRightInd w:val="0"/>
        <w:snapToGrid w:val="0"/>
        <w:spacing w:line="580" w:lineRule="exact"/>
        <w:textAlignment w:val="auto"/>
        <w:rPr>
          <w:rFonts w:hint="eastAsia" w:ascii="方正黑体_GBK" w:hAnsi="方正黑体_GBK" w:eastAsia="方正黑体_GBK" w:cs="方正黑体_GBK"/>
          <w:b w:val="0"/>
          <w:bCs w:val="0"/>
          <w:kern w:val="0"/>
          <w:sz w:val="28"/>
          <w:szCs w:val="28"/>
          <w:lang w:val="en-US" w:eastAsia="zh-CN" w:bidi="ar-SA"/>
        </w:rPr>
      </w:pPr>
      <w:r>
        <w:rPr>
          <w:rFonts w:hint="eastAsia" w:ascii="方正黑体_GBK" w:hAnsi="方正黑体_GBK" w:eastAsia="方正黑体_GBK" w:cs="方正黑体_GBK"/>
          <w:b w:val="0"/>
          <w:bCs w:val="0"/>
          <w:kern w:val="0"/>
          <w:sz w:val="28"/>
          <w:szCs w:val="28"/>
          <w:lang w:val="en-US" w:eastAsia="zh-CN" w:bidi="ar-SA"/>
        </w:rPr>
        <w:t xml:space="preserve">    法定代表人：</w:t>
      </w:r>
    </w:p>
    <w:p>
      <w:pPr>
        <w:keepNext w:val="0"/>
        <w:keepLines w:val="0"/>
        <w:pageBreakBefore w:val="0"/>
        <w:widowControl w:val="0"/>
        <w:kinsoku/>
        <w:overflowPunct/>
        <w:topLinePunct w:val="0"/>
        <w:autoSpaceDE/>
        <w:autoSpaceDN/>
        <w:bidi w:val="0"/>
        <w:adjustRightInd w:val="0"/>
        <w:snapToGrid w:val="0"/>
        <w:spacing w:line="580" w:lineRule="exact"/>
        <w:textAlignment w:val="auto"/>
        <w:rPr>
          <w:rFonts w:hint="eastAsia" w:ascii="方正黑体_GBK" w:hAnsi="方正黑体_GBK" w:eastAsia="方正黑体_GBK" w:cs="方正黑体_GBK"/>
          <w:b w:val="0"/>
          <w:bCs w:val="0"/>
          <w:kern w:val="0"/>
          <w:sz w:val="28"/>
          <w:szCs w:val="28"/>
          <w:lang w:val="en-US" w:eastAsia="zh-CN" w:bidi="ar-SA"/>
        </w:rPr>
      </w:pPr>
      <w:r>
        <w:rPr>
          <w:rFonts w:hint="eastAsia" w:ascii="方正黑体_GBK" w:hAnsi="方正黑体_GBK" w:eastAsia="方正黑体_GBK" w:cs="方正黑体_GBK"/>
          <w:b w:val="0"/>
          <w:bCs w:val="0"/>
          <w:kern w:val="0"/>
          <w:sz w:val="28"/>
          <w:szCs w:val="28"/>
          <w:lang w:val="en-US" w:eastAsia="zh-CN" w:bidi="ar-SA"/>
        </w:rPr>
        <w:t xml:space="preserve">      </w:t>
      </w:r>
    </w:p>
    <w:p>
      <w:pPr>
        <w:keepNext w:val="0"/>
        <w:keepLines w:val="0"/>
        <w:pageBreakBefore w:val="0"/>
        <w:widowControl w:val="0"/>
        <w:kinsoku/>
        <w:wordWrap w:val="0"/>
        <w:overflowPunct/>
        <w:topLinePunct w:val="0"/>
        <w:autoSpaceDE/>
        <w:autoSpaceDN/>
        <w:bidi w:val="0"/>
        <w:adjustRightInd w:val="0"/>
        <w:snapToGrid w:val="0"/>
        <w:spacing w:line="580" w:lineRule="exact"/>
        <w:textAlignment w:val="auto"/>
        <w:rPr>
          <w:rFonts w:hint="eastAsia" w:ascii="方正黑体_GBK" w:hAnsi="方正黑体_GBK" w:eastAsia="方正黑体_GBK" w:cs="方正黑体_GBK"/>
          <w:b w:val="0"/>
          <w:bCs w:val="0"/>
          <w:kern w:val="0"/>
          <w:sz w:val="28"/>
          <w:szCs w:val="28"/>
          <w:lang w:val="en-US" w:eastAsia="zh-CN" w:bidi="ar-SA"/>
        </w:rPr>
      </w:pPr>
      <w:r>
        <w:rPr>
          <w:rFonts w:hint="eastAsia" w:ascii="方正黑体_GBK" w:hAnsi="方正黑体_GBK" w:eastAsia="方正黑体_GBK" w:cs="方正黑体_GBK"/>
          <w:b w:val="0"/>
          <w:bCs w:val="0"/>
          <w:kern w:val="0"/>
          <w:sz w:val="28"/>
          <w:szCs w:val="28"/>
          <w:lang w:val="en-US" w:eastAsia="zh-CN" w:bidi="ar-SA"/>
        </w:rPr>
        <w:t xml:space="preserve">    供应商（以下简称“乙方”）：</w:t>
      </w:r>
    </w:p>
    <w:p>
      <w:pPr>
        <w:keepNext w:val="0"/>
        <w:keepLines w:val="0"/>
        <w:pageBreakBefore w:val="0"/>
        <w:widowControl w:val="0"/>
        <w:kinsoku/>
        <w:wordWrap w:val="0"/>
        <w:overflowPunct/>
        <w:topLinePunct w:val="0"/>
        <w:autoSpaceDE/>
        <w:autoSpaceDN/>
        <w:bidi w:val="0"/>
        <w:adjustRightInd w:val="0"/>
        <w:snapToGrid w:val="0"/>
        <w:spacing w:line="580" w:lineRule="exact"/>
        <w:ind w:firstLine="560" w:firstLineChars="200"/>
        <w:textAlignment w:val="auto"/>
        <w:rPr>
          <w:rFonts w:hint="eastAsia" w:ascii="方正黑体_GBK" w:hAnsi="方正黑体_GBK" w:eastAsia="方正黑体_GBK" w:cs="方正黑体_GBK"/>
          <w:b w:val="0"/>
          <w:bCs w:val="0"/>
          <w:kern w:val="0"/>
          <w:sz w:val="28"/>
          <w:szCs w:val="28"/>
          <w:lang w:val="en-US" w:eastAsia="zh-CN" w:bidi="ar-SA"/>
        </w:rPr>
      </w:pPr>
      <w:r>
        <w:rPr>
          <w:rFonts w:hint="eastAsia" w:ascii="方正黑体_GBK" w:hAnsi="方正黑体_GBK" w:eastAsia="方正黑体_GBK" w:cs="方正黑体_GBK"/>
          <w:b w:val="0"/>
          <w:bCs w:val="0"/>
          <w:kern w:val="0"/>
          <w:sz w:val="28"/>
          <w:szCs w:val="28"/>
          <w:lang w:val="en-US" w:eastAsia="zh-CN" w:bidi="ar-SA"/>
        </w:rPr>
        <w:t>住  所：</w:t>
      </w:r>
    </w:p>
    <w:p>
      <w:pPr>
        <w:keepNext w:val="0"/>
        <w:keepLines w:val="0"/>
        <w:pageBreakBefore w:val="0"/>
        <w:widowControl w:val="0"/>
        <w:kinsoku/>
        <w:wordWrap w:val="0"/>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b w:val="0"/>
          <w:bCs w:val="0"/>
          <w:kern w:val="0"/>
          <w:sz w:val="28"/>
          <w:szCs w:val="28"/>
          <w:lang w:val="en-US" w:eastAsia="zh-CN" w:bidi="ar-SA"/>
        </w:rPr>
        <w:t>法定代表人：</w:t>
      </w:r>
      <w:r>
        <w:rPr>
          <w:rFonts w:hint="eastAsia" w:ascii="方正黑体_GBK" w:hAnsi="方正黑体_GBK" w:eastAsia="方正黑体_GBK" w:cs="方正黑体_GBK"/>
          <w:kern w:val="0"/>
          <w:sz w:val="28"/>
          <w:szCs w:val="28"/>
        </w:rPr>
        <w:t xml:space="preserve">                     </w:t>
      </w:r>
      <w:r>
        <w:rPr>
          <w:rFonts w:hint="eastAsia" w:ascii="方正仿宋_GBK" w:hAnsi="方正仿宋_GBK" w:eastAsia="方正仿宋_GBK" w:cs="方正仿宋_GBK"/>
          <w:kern w:val="0"/>
          <w:sz w:val="32"/>
          <w:szCs w:val="32"/>
        </w:rPr>
        <w:t xml:space="preserve">                                              </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根据《中华人民共和国政府采购法》</w:t>
      </w:r>
      <w:r>
        <w:rPr>
          <w:rFonts w:hint="eastAsia" w:ascii="方正仿宋_GBK" w:hAnsi="方正仿宋_GBK" w:eastAsia="方正仿宋_GBK" w:cs="方正仿宋_GBK"/>
          <w:color w:val="0000FF"/>
          <w:kern w:val="0"/>
          <w:sz w:val="32"/>
          <w:szCs w:val="32"/>
        </w:rPr>
        <w:t>、</w:t>
      </w:r>
      <w:r>
        <w:rPr>
          <w:rFonts w:hint="eastAsia" w:ascii="方正仿宋_GBK" w:hAnsi="方正仿宋_GBK" w:eastAsia="方正仿宋_GBK" w:cs="方正仿宋_GBK"/>
          <w:color w:val="0000FF"/>
          <w:kern w:val="0"/>
          <w:sz w:val="32"/>
          <w:szCs w:val="32"/>
          <w:lang w:eastAsia="zh-CN"/>
        </w:rPr>
        <w:t>《中国人民共和国民法典》</w:t>
      </w:r>
      <w:r>
        <w:rPr>
          <w:rFonts w:hint="eastAsia" w:ascii="方正仿宋_GBK" w:hAnsi="方正仿宋_GBK" w:eastAsia="方正仿宋_GBK" w:cs="方正仿宋_GBK"/>
          <w:kern w:val="0"/>
          <w:sz w:val="32"/>
          <w:szCs w:val="32"/>
        </w:rPr>
        <w:t>及</w:t>
      </w:r>
      <w:r>
        <w:rPr>
          <w:rFonts w:hint="eastAsia" w:ascii="方正仿宋_GBK" w:hAnsi="方正仿宋_GBK" w:eastAsia="方正仿宋_GBK" w:cs="方正仿宋_GBK"/>
          <w:kern w:val="0"/>
          <w:sz w:val="32"/>
          <w:szCs w:val="32"/>
          <w:lang w:val="en-US" w:eastAsia="zh-CN"/>
        </w:rPr>
        <w:t>通江县力迅交投运业</w:t>
      </w:r>
      <w:r>
        <w:rPr>
          <w:rFonts w:hint="eastAsia" w:ascii="方正仿宋_GBK" w:hAnsi="方正仿宋_GBK" w:eastAsia="方正仿宋_GBK" w:cs="方正仿宋_GBK"/>
          <w:kern w:val="0"/>
          <w:sz w:val="32"/>
          <w:szCs w:val="32"/>
        </w:rPr>
        <w:t>公司购买经营车辆项目（项目编号：）的《</w:t>
      </w:r>
      <w:r>
        <w:rPr>
          <w:rFonts w:hint="eastAsia" w:ascii="方正仿宋_GBK" w:hAnsi="方正仿宋_GBK" w:eastAsia="方正仿宋_GBK" w:cs="方正仿宋_GBK"/>
          <w:kern w:val="0"/>
          <w:sz w:val="32"/>
          <w:szCs w:val="32"/>
          <w:lang w:val="en-US" w:eastAsia="zh-CN"/>
        </w:rPr>
        <w:t>采购公告</w:t>
      </w:r>
      <w:r>
        <w:rPr>
          <w:rFonts w:hint="eastAsia" w:ascii="方正仿宋_GBK" w:hAnsi="方正仿宋_GBK" w:eastAsia="方正仿宋_GBK" w:cs="方正仿宋_GBK"/>
          <w:kern w:val="0"/>
          <w:sz w:val="32"/>
          <w:szCs w:val="32"/>
        </w:rPr>
        <w:t>》、及《</w:t>
      </w:r>
      <w:r>
        <w:rPr>
          <w:rFonts w:hint="eastAsia" w:ascii="方正仿宋_GBK" w:hAnsi="方正仿宋_GBK" w:eastAsia="方正仿宋_GBK" w:cs="方正仿宋_GBK"/>
          <w:kern w:val="0"/>
          <w:sz w:val="32"/>
          <w:szCs w:val="32"/>
          <w:lang w:val="en-US" w:eastAsia="zh-CN"/>
        </w:rPr>
        <w:t>中选通知书</w:t>
      </w:r>
      <w:r>
        <w:rPr>
          <w:rFonts w:hint="eastAsia" w:ascii="方正仿宋_GBK" w:hAnsi="方正仿宋_GBK" w:eastAsia="方正仿宋_GBK" w:cs="方正仿宋_GBK"/>
          <w:kern w:val="0"/>
          <w:sz w:val="32"/>
          <w:szCs w:val="32"/>
        </w:rPr>
        <w:t>》，甲、乙双方同意签订本合同。详细技术说明及其他有关合同项目的特定信息由合同附件予以说明，合同附件及本项目的</w:t>
      </w:r>
      <w:r>
        <w:rPr>
          <w:rFonts w:hint="eastAsia" w:ascii="方正仿宋_GBK" w:hAnsi="方正仿宋_GBK" w:eastAsia="方正仿宋_GBK" w:cs="方正仿宋_GBK"/>
          <w:kern w:val="0"/>
          <w:sz w:val="32"/>
          <w:szCs w:val="32"/>
          <w:lang w:val="en-US" w:eastAsia="zh-CN"/>
        </w:rPr>
        <w:t>采购公告</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中选通知书</w:t>
      </w:r>
      <w:r>
        <w:rPr>
          <w:rFonts w:hint="eastAsia" w:ascii="方正仿宋_GBK" w:hAnsi="方正仿宋_GBK" w:eastAsia="方正仿宋_GBK" w:cs="方正仿宋_GBK"/>
          <w:kern w:val="0"/>
          <w:sz w:val="32"/>
          <w:szCs w:val="32"/>
        </w:rPr>
        <w:t>》等均为本合同不可分割的部分。双方同意共同遵守如下条款：</w:t>
      </w:r>
      <w:bookmarkStart w:id="1" w:name="_Toc217446107"/>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一、合同货物</w:t>
      </w:r>
      <w:bookmarkEnd w:id="1"/>
    </w:p>
    <w:tbl>
      <w:tblPr>
        <w:tblStyle w:val="10"/>
        <w:tblW w:w="92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
        <w:gridCol w:w="1058"/>
        <w:gridCol w:w="720"/>
        <w:gridCol w:w="977"/>
        <w:gridCol w:w="823"/>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878"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hint="eastAsia" w:ascii="宋体" w:hAnsi="宋体" w:cs="仿宋_GB2312"/>
                <w:kern w:val="0"/>
                <w:sz w:val="24"/>
                <w:szCs w:val="24"/>
                <w:lang w:val="en-US" w:eastAsia="zh-CN"/>
              </w:rPr>
            </w:pPr>
            <w:r>
              <w:rPr>
                <w:rFonts w:hint="eastAsia" w:ascii="宋体" w:hAnsi="宋体" w:cs="仿宋_GB2312"/>
                <w:kern w:val="0"/>
                <w:sz w:val="24"/>
                <w:szCs w:val="24"/>
                <w:lang w:val="en-US" w:eastAsia="zh-CN"/>
              </w:rPr>
              <w:t>货物</w:t>
            </w:r>
          </w:p>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品名</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规格</w:t>
            </w:r>
          </w:p>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单位</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hint="eastAsia" w:ascii="宋体" w:hAnsi="宋体" w:cs="仿宋_GB2312"/>
                <w:kern w:val="0"/>
                <w:sz w:val="24"/>
                <w:szCs w:val="24"/>
              </w:rPr>
            </w:pPr>
            <w:r>
              <w:rPr>
                <w:rFonts w:hint="eastAsia" w:ascii="宋体" w:hAnsi="宋体" w:cs="仿宋_GB2312"/>
                <w:kern w:val="0"/>
                <w:sz w:val="24"/>
                <w:szCs w:val="24"/>
              </w:rPr>
              <w:t>颜色</w:t>
            </w:r>
          </w:p>
        </w:tc>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ind w:firstLine="120" w:firstLineChars="50"/>
              <w:jc w:val="center"/>
              <w:textAlignment w:val="auto"/>
              <w:rPr>
                <w:rFonts w:ascii="宋体"/>
                <w:kern w:val="0"/>
                <w:sz w:val="24"/>
                <w:szCs w:val="24"/>
              </w:rPr>
            </w:pPr>
            <w:r>
              <w:rPr>
                <w:rFonts w:hint="eastAsia" w:ascii="宋体" w:hAnsi="宋体" w:cs="仿宋_GB2312"/>
                <w:kern w:val="0"/>
                <w:sz w:val="24"/>
                <w:szCs w:val="24"/>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ind w:firstLine="120" w:firstLineChars="50"/>
              <w:jc w:val="center"/>
              <w:textAlignment w:val="auto"/>
              <w:rPr>
                <w:rFonts w:ascii="宋体"/>
                <w:kern w:val="0"/>
                <w:sz w:val="24"/>
                <w:szCs w:val="24"/>
              </w:rPr>
            </w:pPr>
            <w:r>
              <w:rPr>
                <w:rFonts w:hint="eastAsia" w:ascii="宋体" w:hAnsi="宋体" w:cs="仿宋_GB2312"/>
                <w:kern w:val="0"/>
                <w:sz w:val="24"/>
                <w:szCs w:val="24"/>
              </w:rPr>
              <w:t>单价</w:t>
            </w:r>
          </w:p>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ind w:firstLine="240" w:firstLineChars="100"/>
              <w:jc w:val="both"/>
              <w:textAlignment w:val="auto"/>
              <w:rPr>
                <w:rFonts w:ascii="宋体"/>
                <w:kern w:val="0"/>
                <w:sz w:val="24"/>
                <w:szCs w:val="24"/>
              </w:rPr>
            </w:pPr>
            <w:r>
              <w:rPr>
                <w:rFonts w:hint="eastAsia" w:ascii="宋体" w:hAnsi="宋体" w:cs="仿宋_GB2312"/>
                <w:kern w:val="0"/>
                <w:sz w:val="24"/>
                <w:szCs w:val="24"/>
              </w:rPr>
              <w:t>总价</w:t>
            </w:r>
          </w:p>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（万元）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随机</w:t>
            </w:r>
          </w:p>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r>
              <w:rPr>
                <w:rFonts w:hint="eastAsia" w:ascii="宋体" w:hAnsi="宋体" w:cs="仿宋_GB2312"/>
                <w:kern w:val="0"/>
                <w:sz w:val="24"/>
                <w:szCs w:val="24"/>
              </w:rPr>
              <w:t>配件</w:t>
            </w:r>
          </w:p>
        </w:tc>
        <w:tc>
          <w:tcPr>
            <w:tcW w:w="126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ind w:firstLine="120" w:firstLineChars="50"/>
              <w:jc w:val="center"/>
              <w:textAlignment w:val="auto"/>
              <w:rPr>
                <w:rFonts w:ascii="宋体"/>
                <w:kern w:val="0"/>
                <w:sz w:val="24"/>
                <w:szCs w:val="24"/>
              </w:rPr>
            </w:pPr>
            <w:r>
              <w:rPr>
                <w:rFonts w:hint="eastAsia" w:ascii="宋体" w:hAnsi="宋体" w:cs="仿宋_GB2312"/>
                <w:kern w:val="0"/>
                <w:sz w:val="24"/>
                <w:szCs w:val="24"/>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878"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hint="eastAsia" w:ascii="宋体"/>
                <w:kern w:val="0"/>
                <w:sz w:val="24"/>
                <w:szCs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26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878"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hint="eastAsia" w:ascii="宋体"/>
                <w:kern w:val="0"/>
                <w:sz w:val="24"/>
                <w:szCs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c>
          <w:tcPr>
            <w:tcW w:w="126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overflowPunct/>
              <w:topLinePunct w:val="0"/>
              <w:autoSpaceDE/>
              <w:autoSpaceDN/>
              <w:bidi w:val="0"/>
              <w:spacing w:line="580" w:lineRule="exact"/>
              <w:jc w:val="center"/>
              <w:textAlignment w:val="auto"/>
              <w:rPr>
                <w:rFonts w:ascii="宋体"/>
                <w:kern w:val="0"/>
                <w:sz w:val="24"/>
                <w:szCs w:val="24"/>
              </w:rPr>
            </w:pPr>
          </w:p>
        </w:tc>
      </w:tr>
    </w:tbl>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bookmarkStart w:id="2" w:name="_Toc217446108"/>
      <w:r>
        <w:rPr>
          <w:rFonts w:hint="eastAsia" w:ascii="方正黑体_GBK" w:hAnsi="方正黑体_GBK" w:eastAsia="方正黑体_GBK" w:cs="方正黑体_GBK"/>
          <w:sz w:val="32"/>
          <w:szCs w:val="32"/>
        </w:rPr>
        <w:t>二、合同总价</w:t>
      </w:r>
      <w:bookmarkEnd w:id="2"/>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合同总价为人民币大写：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，即RMB￥</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bookmarkStart w:id="3" w:name="_Toc217446109"/>
      <w:r>
        <w:rPr>
          <w:rFonts w:hint="eastAsia" w:ascii="方正仿宋_GBK" w:hAnsi="方正仿宋_GBK" w:eastAsia="方正仿宋_GBK" w:cs="方正仿宋_GBK"/>
          <w:sz w:val="32"/>
          <w:szCs w:val="32"/>
        </w:rPr>
        <w:t>质量要求</w:t>
      </w:r>
      <w:bookmarkEnd w:id="3"/>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1、乙方须提供全新的货物（含零部件、配件等），表面无划伤、无碰撞痕迹，且权属清楚，不得侵害他人的知识产权。</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2、货物必须符合或优于国家（行业）标准，以及本项目招标文件的质量要求和技术指标与出厂标准。</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3、货物制造质量出现问题，乙方应负责三包（包修、包换、包退），费用由乙方负担，甲方有权到乙方生产场地检查货物质量和生产进度。</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4、货到现场后由于甲方保管不当造成的质量问题，乙方亦应负责修理，但费用由甲方负担。</w:t>
      </w:r>
      <w:bookmarkStart w:id="4" w:name="_Toc217446110"/>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四、交货及验收</w:t>
      </w:r>
      <w:bookmarkEnd w:id="4"/>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1、车辆为</w:t>
      </w:r>
      <w:r>
        <w:rPr>
          <w:rFonts w:hint="eastAsia" w:ascii="方正仿宋_GBK" w:hAnsi="方正仿宋_GBK" w:eastAsia="方正仿宋_GBK" w:cs="方正仿宋_GBK"/>
          <w:kern w:val="0"/>
          <w:sz w:val="32"/>
          <w:szCs w:val="32"/>
          <w:lang w:eastAsia="zh-CN"/>
        </w:rPr>
        <w:t>一</w:t>
      </w:r>
      <w:r>
        <w:rPr>
          <w:rFonts w:hint="eastAsia" w:ascii="方正仿宋_GBK" w:hAnsi="方正仿宋_GBK" w:eastAsia="方正仿宋_GBK" w:cs="方正仿宋_GBK"/>
          <w:kern w:val="0"/>
          <w:sz w:val="32"/>
          <w:szCs w:val="32"/>
        </w:rPr>
        <w:t>次交付</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台，乙方交货期限为合同签订生效后的个工作日内交货到甲方指定地点，并且最迟应在年月日前全部完成安装调试验收合格交付使用(如由于采购人的原因造成合同延迟签订或验收的，时间顺延)。交货验收时须提供产品质检部门从同类产品中抽样检查合格的检测报告。</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2、验收由甲方组织，乙方配合进行：</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(1)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 如质量验收合格，双方签署质量验收报告。</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3、乙方应将所提供货物的装箱清单、配件、随机工具、用户使用手册、原厂保修卡等资料交付给甲方；乙方不能完整交付货物及本款规定的单证和工具的，必须负责补齐，否则视为未按合同约定交货。</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4、如乙方提供产品不能达到合同约定的质量标准，甲方有权退货，并视作乙方不能交付货物而须支付违约赔偿金给甲方，甲方还可依法追究乙方的违约责任。 </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5、其他未尽事宜应严格按照《四川省政府采购项目需求论证和履约验收管理办法》（川财采〔2015〕32号）的要求进行。</w:t>
      </w:r>
      <w:bookmarkStart w:id="5" w:name="_Toc217446111"/>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五、付款方式</w:t>
      </w:r>
      <w:bookmarkEnd w:id="5"/>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（一）签订合同后</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车辆</w:t>
      </w:r>
      <w:r>
        <w:rPr>
          <w:rFonts w:hint="eastAsia" w:ascii="方正仿宋_GBK" w:hAnsi="方正仿宋_GBK" w:eastAsia="方正仿宋_GBK" w:cs="方正仿宋_GBK"/>
          <w:kern w:val="0"/>
          <w:sz w:val="32"/>
          <w:szCs w:val="32"/>
          <w:lang w:eastAsia="zh-CN"/>
        </w:rPr>
        <w:t>一次性</w:t>
      </w:r>
      <w:r>
        <w:rPr>
          <w:rFonts w:hint="eastAsia" w:ascii="方正仿宋_GBK" w:hAnsi="方正仿宋_GBK" w:eastAsia="方正仿宋_GBK" w:cs="方正仿宋_GBK"/>
          <w:kern w:val="0"/>
          <w:sz w:val="32"/>
          <w:szCs w:val="32"/>
        </w:rPr>
        <w:t>交付；交货验收合格后，支付该批次%</w:t>
      </w:r>
      <w:r>
        <w:rPr>
          <w:rFonts w:hint="eastAsia" w:ascii="方正仿宋_GBK" w:hAnsi="方正仿宋_GBK" w:eastAsia="方正仿宋_GBK" w:cs="方正仿宋_GBK"/>
          <w:kern w:val="0"/>
          <w:sz w:val="32"/>
          <w:szCs w:val="32"/>
          <w:lang w:eastAsia="zh-CN"/>
        </w:rPr>
        <w:t>货款</w:t>
      </w:r>
      <w:r>
        <w:rPr>
          <w:rFonts w:hint="eastAsia" w:ascii="方正仿宋_GBK" w:hAnsi="方正仿宋_GBK" w:eastAsia="方正仿宋_GBK" w:cs="方正仿宋_GBK"/>
          <w:kern w:val="0"/>
          <w:sz w:val="32"/>
          <w:szCs w:val="32"/>
        </w:rPr>
        <w:t>。车辆的所有资料在付款后3个工作日内乙方交付甲方。</w:t>
      </w:r>
    </w:p>
    <w:p>
      <w:pPr>
        <w:pStyle w:val="15"/>
        <w:keepNext w:val="0"/>
        <w:keepLines w:val="0"/>
        <w:pageBreakBefore w:val="0"/>
        <w:widowControl w:val="0"/>
        <w:numPr>
          <w:ilvl w:val="0"/>
          <w:numId w:val="1"/>
        </w:numPr>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、乙方须向甲方出具合法有效完整的完税发票及凭证资料进行支付结算。</w:t>
      </w:r>
      <w:bookmarkStart w:id="6" w:name="_Toc217446112"/>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六、售后服务</w:t>
      </w:r>
      <w:bookmarkEnd w:id="6"/>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质保期为验收合格后3年或10万公里，质保期内出现质量问题，乙方在接到通知后小时内响应到场，小时内完成维修或更换，并承担修理调换的费用；如货物经乙方次维修仍不能达到本合同约定的质量标准，甲方有权退货并追究乙方的违约责任。货到现场后由于甲方保管不当造成的问题，乙方亦应负责修复，但费用由甲方负担。</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2、乙方须指派专人负责与甲方联系售后服务事宜。 </w:t>
      </w:r>
      <w:bookmarkStart w:id="7" w:name="_Toc217446113"/>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七、违约责任</w:t>
      </w:r>
      <w:bookmarkEnd w:id="7"/>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1、甲方违约责任</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 甲方无正当理由拒收货物的，甲方应偿付合同总价百分之的违约金；</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（2）甲方逾期支付货款的，除应及时付足货款外，应向乙方偿付欠款总额万分之/天的违约金；逾期付款超过天的，乙方有权终止合同；</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 甲方偿付的违约金不足以弥补乙方损失的，还应按乙方损失尚未弥补的部分，支付赔偿金给乙方。</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2、乙方违约责任</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乙方交付的货物质量不符合合同规定的，乙方应向甲方支付合同总价的百分之十的违约金，并须在合同规定的交货时间内更换合格的货物给甲方，否则，视作乙方不能交付货物而违约，按本条本款下述第“（）”项规定由乙方偿付违约赔偿金给甲方。</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乙方不能交付货物或逾期交付货物而违约的，除应及时交足货物外，应向甲方偿付逾期交货部分货款总额的万分/天的违约金；逾期交货超过天，甲方有权终止合同，乙方则应按合同总价的百分之的款额向甲方偿付赔偿金，并须全额退还甲方已经付给乙方的货款及其利息。</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（5）乙方偿付的违约金不足以弥补甲方损失的，还应按甲方损失尚未弥补的部分，支付赔偿金给甲方。</w:t>
      </w:r>
      <w:bookmarkStart w:id="8" w:name="_Toc217446114"/>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八、争议解决办法</w:t>
      </w:r>
      <w:bookmarkEnd w:id="8"/>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1、因货物的质量问题发生争议，由质量技术监督部门或其指定的质量鉴定机构进行质量鉴定。货物符合标准的，鉴定费由甲方承担；货物不符合质量标准的，鉴定费由乙方承担。</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2、合同履行期间,若双方发生争议，可协商或由有关部门调解解决，协商或调解不成的，由当事人依法维护其合法权益。</w:t>
      </w:r>
      <w:bookmarkStart w:id="9" w:name="_Toc217446115"/>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九、其他</w:t>
      </w:r>
      <w:bookmarkEnd w:id="9"/>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1、如有未尽事宜，由双方依法订立补充合同。</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2、本合同</w:t>
      </w:r>
      <w:r>
        <w:rPr>
          <w:rFonts w:hint="eastAsia" w:ascii="方正仿宋_GBK" w:hAnsi="方正仿宋_GBK" w:eastAsia="方正仿宋_GBK" w:cs="方正仿宋_GBK"/>
          <w:kern w:val="0"/>
          <w:sz w:val="32"/>
          <w:szCs w:val="32"/>
          <w:lang w:val="en-US" w:eastAsia="zh-CN"/>
        </w:rPr>
        <w:t>壹</w:t>
      </w:r>
      <w:r>
        <w:rPr>
          <w:rFonts w:hint="eastAsia" w:ascii="方正仿宋_GBK" w:hAnsi="方正仿宋_GBK" w:eastAsia="方正仿宋_GBK" w:cs="方正仿宋_GBK"/>
          <w:kern w:val="0"/>
          <w:sz w:val="32"/>
          <w:szCs w:val="32"/>
        </w:rPr>
        <w:t>式</w:t>
      </w:r>
      <w:r>
        <w:rPr>
          <w:rFonts w:hint="eastAsia" w:ascii="方正仿宋_GBK" w:hAnsi="方正仿宋_GBK" w:eastAsia="方正仿宋_GBK" w:cs="方正仿宋_GBK"/>
          <w:kern w:val="0"/>
          <w:sz w:val="32"/>
          <w:szCs w:val="32"/>
          <w:lang w:val="en-US" w:eastAsia="zh-CN"/>
        </w:rPr>
        <w:t>陆</w:t>
      </w:r>
      <w:r>
        <w:rPr>
          <w:rFonts w:hint="eastAsia" w:ascii="方正仿宋_GBK" w:hAnsi="方正仿宋_GBK" w:eastAsia="方正仿宋_GBK" w:cs="方正仿宋_GBK"/>
          <w:kern w:val="0"/>
          <w:sz w:val="32"/>
          <w:szCs w:val="32"/>
        </w:rPr>
        <w:t>份，自双方签章之日起</w:t>
      </w:r>
      <w:r>
        <w:rPr>
          <w:rFonts w:hint="eastAsia" w:ascii="方正仿宋_GBK" w:hAnsi="方正仿宋_GBK" w:eastAsia="方正仿宋_GBK" w:cs="方正仿宋_GBK"/>
          <w:kern w:val="0"/>
          <w:sz w:val="32"/>
          <w:szCs w:val="32"/>
          <w:lang w:val="en-US" w:eastAsia="zh-CN"/>
        </w:rPr>
        <w:t>生</w:t>
      </w:r>
      <w:r>
        <w:rPr>
          <w:rFonts w:hint="eastAsia" w:ascii="方正仿宋_GBK" w:hAnsi="方正仿宋_GBK" w:eastAsia="方正仿宋_GBK" w:cs="方正仿宋_GBK"/>
          <w:kern w:val="0"/>
          <w:sz w:val="32"/>
          <w:szCs w:val="32"/>
        </w:rPr>
        <w:t>效。甲方</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乙方</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采购代理机构</w:t>
      </w:r>
      <w:r>
        <w:rPr>
          <w:rFonts w:hint="eastAsia" w:ascii="方正仿宋_GBK" w:hAnsi="方正仿宋_GBK" w:eastAsia="方正仿宋_GBK" w:cs="方正仿宋_GBK"/>
          <w:kern w:val="0"/>
          <w:sz w:val="32"/>
          <w:szCs w:val="32"/>
          <w:lang w:val="en-US" w:eastAsia="zh-CN"/>
        </w:rPr>
        <w:t>各贰</w:t>
      </w:r>
      <w:r>
        <w:rPr>
          <w:rFonts w:hint="eastAsia" w:ascii="方正仿宋_GBK" w:hAnsi="方正仿宋_GBK" w:eastAsia="方正仿宋_GBK" w:cs="方正仿宋_GBK"/>
          <w:kern w:val="0"/>
          <w:sz w:val="32"/>
          <w:szCs w:val="32"/>
        </w:rPr>
        <w:t>份，具有同等法律效力。</w:t>
      </w:r>
    </w:p>
    <w:p>
      <w:pPr>
        <w:pStyle w:val="15"/>
        <w:keepNext w:val="0"/>
        <w:keepLines w:val="0"/>
        <w:pageBreakBefore w:val="0"/>
        <w:widowControl w:val="0"/>
        <w:kinsoku/>
        <w:overflowPunct/>
        <w:topLinePunct w:val="0"/>
        <w:autoSpaceDE/>
        <w:autoSpaceDN/>
        <w:bidi w:val="0"/>
        <w:spacing w:line="580" w:lineRule="exact"/>
        <w:ind w:firstLine="480"/>
        <w:textAlignment w:val="auto"/>
        <w:rPr>
          <w:rFonts w:hint="eastAsia" w:ascii="方正仿宋_GBK" w:hAnsi="方正仿宋_GBK" w:eastAsia="方正仿宋_GBK" w:cs="方正仿宋_GBK"/>
          <w:kern w:val="0"/>
          <w:sz w:val="32"/>
          <w:szCs w:val="32"/>
          <w:highlight w:val="none"/>
        </w:rPr>
      </w:pPr>
    </w:p>
    <w:p>
      <w:pPr>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highlight w:val="none"/>
        </w:rPr>
      </w:pPr>
    </w:p>
    <w:p>
      <w:pPr>
        <w:pStyle w:val="2"/>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highlight w:val="none"/>
        </w:rPr>
      </w:pPr>
    </w:p>
    <w:p>
      <w:pPr>
        <w:pStyle w:val="2"/>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highlight w:val="none"/>
        </w:rPr>
      </w:pPr>
    </w:p>
    <w:p>
      <w:pPr>
        <w:pStyle w:val="2"/>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highlight w:val="none"/>
        </w:rPr>
      </w:pPr>
    </w:p>
    <w:p>
      <w:pPr>
        <w:pStyle w:val="2"/>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highlight w:val="none"/>
        </w:rPr>
      </w:pPr>
    </w:p>
    <w:p>
      <w:pPr>
        <w:pStyle w:val="2"/>
        <w:keepNext w:val="0"/>
        <w:keepLines w:val="0"/>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kern w:val="0"/>
          <w:sz w:val="32"/>
          <w:szCs w:val="32"/>
          <w:highlight w:val="none"/>
        </w:rPr>
      </w:pP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方：通江县</w:t>
      </w:r>
      <w:r>
        <w:rPr>
          <w:rFonts w:hint="eastAsia" w:ascii="方正仿宋_GBK" w:hAnsi="方正仿宋_GBK" w:eastAsia="方正仿宋_GBK" w:cs="方正仿宋_GBK"/>
          <w:sz w:val="32"/>
          <w:szCs w:val="32"/>
          <w:lang w:eastAsia="zh-CN"/>
        </w:rPr>
        <w:t>力迅交投运业</w:t>
      </w:r>
      <w:r>
        <w:rPr>
          <w:rFonts w:hint="eastAsia" w:ascii="方正仿宋_GBK" w:hAnsi="方正仿宋_GBK" w:eastAsia="方正仿宋_GBK" w:cs="方正仿宋_GBK"/>
          <w:sz w:val="32"/>
          <w:szCs w:val="32"/>
        </w:rPr>
        <w:t>有限责任公司</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法定代表人（授权代表）：            </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地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址：四川巴中通江县诺江镇观音阁街18号                       </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开户银行：                         </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账</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号：                               </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电    话：                         </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                    </w:t>
      </w:r>
      <w:bookmarkStart w:id="10" w:name="_GoBack"/>
      <w:bookmarkEnd w:id="10"/>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lang w:eastAsia="zh-CN"/>
        </w:rPr>
      </w:pPr>
    </w:p>
    <w:p>
      <w:pPr>
        <w:pStyle w:val="4"/>
        <w:keepNext w:val="0"/>
        <w:keepLines w:val="0"/>
        <w:pageBreakBefore w:val="0"/>
        <w:widowControl w:val="0"/>
        <w:kinsoku/>
        <w:overflowPunct/>
        <w:topLinePunct w:val="0"/>
        <w:autoSpaceDE/>
        <w:autoSpaceDN/>
        <w:bidi w:val="0"/>
        <w:spacing w:line="580" w:lineRule="exact"/>
        <w:ind w:left="0" w:leftChars="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乙    </w:t>
      </w:r>
      <w:r>
        <w:rPr>
          <w:rFonts w:hint="eastAsia" w:ascii="方正仿宋_GBK" w:hAnsi="方正仿宋_GBK" w:eastAsia="方正仿宋_GBK" w:cs="方正仿宋_GBK"/>
          <w:sz w:val="32"/>
          <w:szCs w:val="32"/>
        </w:rPr>
        <w:t>方</w:t>
      </w:r>
      <w:r>
        <w:rPr>
          <w:rFonts w:hint="eastAsia" w:ascii="方正仿宋_GBK" w:hAnsi="方正仿宋_GBK" w:eastAsia="方正仿宋_GBK" w:cs="方正仿宋_GBK"/>
          <w:sz w:val="32"/>
          <w:szCs w:val="32"/>
          <w:lang w:eastAsia="zh-CN"/>
        </w:rPr>
        <w:t>：</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法定代表人（授权代表）：            </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地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址：                 </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开户银行：                         </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账</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号：                               </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电    话：                 </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签约地点：</w:t>
      </w:r>
    </w:p>
    <w:p>
      <w:pPr>
        <w:pStyle w:val="4"/>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签约时间：      年    月    日</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sz w:val="22"/>
                              <w:szCs w:val="36"/>
                              <w:lang w:eastAsia="zh-CN"/>
                            </w:rPr>
                          </w:pPr>
                          <w:r>
                            <w:rPr>
                              <w:rFonts w:hint="eastAsia"/>
                              <w:sz w:val="22"/>
                              <w:szCs w:val="36"/>
                              <w:lang w:eastAsia="zh-CN"/>
                            </w:rPr>
                            <w:fldChar w:fldCharType="begin"/>
                          </w:r>
                          <w:r>
                            <w:rPr>
                              <w:rFonts w:hint="eastAsia"/>
                              <w:sz w:val="22"/>
                              <w:szCs w:val="36"/>
                              <w:lang w:eastAsia="zh-CN"/>
                            </w:rPr>
                            <w:instrText xml:space="preserve"> PAGE  \* MERGEFORMAT </w:instrText>
                          </w:r>
                          <w:r>
                            <w:rPr>
                              <w:rFonts w:hint="eastAsia"/>
                              <w:sz w:val="22"/>
                              <w:szCs w:val="36"/>
                              <w:lang w:eastAsia="zh-CN"/>
                            </w:rPr>
                            <w:fldChar w:fldCharType="separate"/>
                          </w:r>
                          <w:r>
                            <w:rPr>
                              <w:rFonts w:hint="eastAsia"/>
                              <w:sz w:val="22"/>
                              <w:szCs w:val="36"/>
                              <w:lang w:eastAsia="zh-CN"/>
                            </w:rPr>
                            <w:t>1</w:t>
                          </w:r>
                          <w:r>
                            <w:rPr>
                              <w:rFonts w:hint="eastAsia"/>
                              <w:sz w:val="22"/>
                              <w:szCs w:val="36"/>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sz w:val="22"/>
                        <w:szCs w:val="36"/>
                        <w:lang w:eastAsia="zh-CN"/>
                      </w:rPr>
                    </w:pPr>
                    <w:r>
                      <w:rPr>
                        <w:rFonts w:hint="eastAsia"/>
                        <w:sz w:val="22"/>
                        <w:szCs w:val="36"/>
                        <w:lang w:eastAsia="zh-CN"/>
                      </w:rPr>
                      <w:fldChar w:fldCharType="begin"/>
                    </w:r>
                    <w:r>
                      <w:rPr>
                        <w:rFonts w:hint="eastAsia"/>
                        <w:sz w:val="22"/>
                        <w:szCs w:val="36"/>
                        <w:lang w:eastAsia="zh-CN"/>
                      </w:rPr>
                      <w:instrText xml:space="preserve"> PAGE  \* MERGEFORMAT </w:instrText>
                    </w:r>
                    <w:r>
                      <w:rPr>
                        <w:rFonts w:hint="eastAsia"/>
                        <w:sz w:val="22"/>
                        <w:szCs w:val="36"/>
                        <w:lang w:eastAsia="zh-CN"/>
                      </w:rPr>
                      <w:fldChar w:fldCharType="separate"/>
                    </w:r>
                    <w:r>
                      <w:rPr>
                        <w:rFonts w:hint="eastAsia"/>
                        <w:sz w:val="22"/>
                        <w:szCs w:val="36"/>
                        <w:lang w:eastAsia="zh-CN"/>
                      </w:rPr>
                      <w:t>1</w:t>
                    </w:r>
                    <w:r>
                      <w:rPr>
                        <w:rFonts w:hint="eastAsia"/>
                        <w:sz w:val="22"/>
                        <w:szCs w:val="36"/>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3537B"/>
    <w:multiLevelType w:val="singleLevel"/>
    <w:tmpl w:val="0DF3537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Y2IyMDdkODgyMTI3ZDA3MzY4YWNiZTI3ZGEwNzYifQ=="/>
  </w:docVars>
  <w:rsids>
    <w:rsidRoot w:val="509858A6"/>
    <w:rsid w:val="00B452F3"/>
    <w:rsid w:val="0221174F"/>
    <w:rsid w:val="02A80B66"/>
    <w:rsid w:val="08003D53"/>
    <w:rsid w:val="08D32F65"/>
    <w:rsid w:val="0942794E"/>
    <w:rsid w:val="099D70CC"/>
    <w:rsid w:val="0B826262"/>
    <w:rsid w:val="0B966ABC"/>
    <w:rsid w:val="0C3331C2"/>
    <w:rsid w:val="163B69F9"/>
    <w:rsid w:val="18643182"/>
    <w:rsid w:val="18A21340"/>
    <w:rsid w:val="18EB41A6"/>
    <w:rsid w:val="1AB12E23"/>
    <w:rsid w:val="1E9A0BE8"/>
    <w:rsid w:val="1F8E3284"/>
    <w:rsid w:val="1F952A0C"/>
    <w:rsid w:val="1F9841DD"/>
    <w:rsid w:val="23883E2E"/>
    <w:rsid w:val="251A7FB6"/>
    <w:rsid w:val="25B44445"/>
    <w:rsid w:val="26FE234A"/>
    <w:rsid w:val="2955245A"/>
    <w:rsid w:val="2D230034"/>
    <w:rsid w:val="2E6A68CF"/>
    <w:rsid w:val="2FFF1E9D"/>
    <w:rsid w:val="30B03A0C"/>
    <w:rsid w:val="31C907C9"/>
    <w:rsid w:val="33105460"/>
    <w:rsid w:val="33124DA9"/>
    <w:rsid w:val="335E10A6"/>
    <w:rsid w:val="33F95BC5"/>
    <w:rsid w:val="341E7FCB"/>
    <w:rsid w:val="36001B19"/>
    <w:rsid w:val="39D75DA5"/>
    <w:rsid w:val="3D554D22"/>
    <w:rsid w:val="3D655385"/>
    <w:rsid w:val="3D686D0C"/>
    <w:rsid w:val="3F21326E"/>
    <w:rsid w:val="3F897F47"/>
    <w:rsid w:val="402868A0"/>
    <w:rsid w:val="41931732"/>
    <w:rsid w:val="4464582E"/>
    <w:rsid w:val="47D61856"/>
    <w:rsid w:val="499B7645"/>
    <w:rsid w:val="4B3E31E8"/>
    <w:rsid w:val="4BD52DEA"/>
    <w:rsid w:val="4CF937E4"/>
    <w:rsid w:val="4D284804"/>
    <w:rsid w:val="4D5B0773"/>
    <w:rsid w:val="4D901CB3"/>
    <w:rsid w:val="4DBF023C"/>
    <w:rsid w:val="4FB82007"/>
    <w:rsid w:val="509858A6"/>
    <w:rsid w:val="531E7B1F"/>
    <w:rsid w:val="566079DF"/>
    <w:rsid w:val="58A907EB"/>
    <w:rsid w:val="58C2299A"/>
    <w:rsid w:val="5A221372"/>
    <w:rsid w:val="600B656A"/>
    <w:rsid w:val="67041F2A"/>
    <w:rsid w:val="68545F11"/>
    <w:rsid w:val="6C197BAC"/>
    <w:rsid w:val="6D535020"/>
    <w:rsid w:val="77802816"/>
    <w:rsid w:val="7AB633B1"/>
    <w:rsid w:val="7CB53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260" w:after="260" w:line="500" w:lineRule="exact"/>
      <w:outlineLvl w:val="1"/>
    </w:pPr>
    <w:rPr>
      <w:rFonts w:ascii="Arial" w:hAnsi="Arial" w:eastAsia="黑体" w:cs="Arial"/>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rFonts w:eastAsia="宋体"/>
    </w:rPr>
  </w:style>
  <w:style w:type="paragraph" w:styleId="4">
    <w:name w:val="Normal Indent"/>
    <w:basedOn w:val="1"/>
    <w:qFormat/>
    <w:uiPriority w:val="0"/>
    <w:pPr>
      <w:ind w:firstLine="420"/>
    </w:pPr>
    <w:rPr>
      <w:kern w:val="0"/>
      <w:sz w:val="20"/>
      <w:szCs w:val="20"/>
    </w:rPr>
  </w:style>
  <w:style w:type="paragraph" w:styleId="5">
    <w:name w:val="Body Text"/>
    <w:basedOn w:val="1"/>
    <w:next w:val="1"/>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spacing w:line="360" w:lineRule="auto"/>
    </w:pPr>
    <w:rPr>
      <w:rFonts w:eastAsia="微软雅黑"/>
      <w:sz w:val="24"/>
    </w:rPr>
  </w:style>
  <w:style w:type="paragraph" w:styleId="9">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character" w:styleId="12">
    <w:name w:val="page number"/>
    <w:basedOn w:val="11"/>
    <w:qFormat/>
    <w:uiPriority w:val="0"/>
  </w:style>
  <w:style w:type="paragraph" w:customStyle="1" w:styleId="13">
    <w:name w:val="正文首行缩进两字符"/>
    <w:basedOn w:val="1"/>
    <w:qFormat/>
    <w:uiPriority w:val="99"/>
    <w:pPr>
      <w:ind w:firstLine="200" w:firstLineChars="200"/>
    </w:pPr>
  </w:style>
  <w:style w:type="paragraph" w:customStyle="1" w:styleId="14">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15">
    <w:name w:val="样式 首行缩进:  2 字符"/>
    <w:basedOn w:val="1"/>
    <w:qFormat/>
    <w:uiPriority w:val="99"/>
    <w:pPr>
      <w:spacing w:line="400" w:lineRule="exact"/>
      <w:ind w:firstLine="200" w:firstLineChars="200"/>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23</Pages>
  <Words>8137</Words>
  <Characters>8768</Characters>
  <Lines>0</Lines>
  <Paragraphs>0</Paragraphs>
  <TotalTime>88</TotalTime>
  <ScaleCrop>false</ScaleCrop>
  <LinksUpToDate>false</LinksUpToDate>
  <CharactersWithSpaces>9751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2018-09-12T00:49:00Z</dcterms:created>
  <dc:creator>Administrator</dc:creator>
  <cp:lastModifiedBy>糯米团子</cp:lastModifiedBy>
  <cp:lastPrinted>2020-09-02T08:03:00Z</cp:lastPrinted>
  <dcterms:modified xsi:type="dcterms:W3CDTF">2022-07-26T08:00:24Z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106178CB1C0844338125BBA5B9871313</vt:lpwstr>
  </property>
</Properties>
</file>